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ECBEF" w14:textId="7ECA15A1" w:rsidR="00F9078E" w:rsidRPr="00987AD1" w:rsidRDefault="00DF359B" w:rsidP="001779C0">
      <w:p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0E2388" w14:textId="5FFECE46" w:rsidR="00C7781C" w:rsidRPr="00FD6187" w:rsidRDefault="00DD34E4" w:rsidP="00437AF6">
      <w:pPr>
        <w:autoSpaceDE w:val="0"/>
        <w:autoSpaceDN w:val="0"/>
        <w:adjustRightInd w:val="0"/>
        <w:spacing w:before="240" w:after="0" w:line="276" w:lineRule="auto"/>
        <w:jc w:val="right"/>
        <w:rPr>
          <w:rFonts w:ascii="Open Sans Light" w:hAnsi="Open Sans Light" w:cs="Open Sans Light"/>
          <w:b/>
        </w:rPr>
      </w:pPr>
      <w:r w:rsidRPr="00FD6187">
        <w:rPr>
          <w:rFonts w:ascii="Open Sans Light" w:hAnsi="Open Sans Light" w:cs="Open Sans Light"/>
          <w:b/>
        </w:rPr>
        <w:t>Załącznik nr 3</w:t>
      </w:r>
      <w:r w:rsidR="00C52A4A" w:rsidRPr="00FD6187">
        <w:rPr>
          <w:rFonts w:ascii="Open Sans Light" w:hAnsi="Open Sans Light" w:cs="Open Sans Light"/>
          <w:b/>
        </w:rPr>
        <w:t xml:space="preserve"> do Regulaminu</w:t>
      </w:r>
      <w:r w:rsidR="00FF5860" w:rsidRPr="00FD6187">
        <w:rPr>
          <w:rFonts w:ascii="Open Sans Light" w:hAnsi="Open Sans Light" w:cs="Open Sans Light"/>
          <w:b/>
        </w:rPr>
        <w:t xml:space="preserve"> wyboru projektów</w:t>
      </w:r>
      <w:r w:rsidR="00C7781C" w:rsidRPr="00FD6187">
        <w:rPr>
          <w:rFonts w:ascii="Open Sans Light" w:hAnsi="Open Sans Light" w:cs="Open Sans Light"/>
          <w:b/>
        </w:rPr>
        <w:t xml:space="preserve"> </w:t>
      </w:r>
    </w:p>
    <w:p w14:paraId="09E4EE26" w14:textId="7371DE85" w:rsidR="00E54F44" w:rsidRPr="00987AD1" w:rsidRDefault="00E54F44" w:rsidP="00437AF6">
      <w:pPr>
        <w:pStyle w:val="Nagwek1"/>
        <w:spacing w:before="360"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41A7AE84" w14:textId="57B5E75E" w:rsidR="00EF4285" w:rsidRPr="007E1F1C" w:rsidRDefault="00EF4285" w:rsidP="00437AF6">
      <w:pPr>
        <w:spacing w:before="360" w:after="0" w:line="276" w:lineRule="auto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Działanie FENX.01.0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5</w:t>
      </w: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.</w:t>
      </w:r>
      <w:r w:rsidR="00DD34E4" w:rsidRPr="007E1F1C">
        <w:rPr>
          <w:rFonts w:ascii="Open Sans Light" w:hAnsi="Open Sans Light" w:cs="Open Sans Light"/>
          <w:b/>
          <w:bCs/>
        </w:rPr>
        <w:t xml:space="preserve"> 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Ochrona przyrody i rozwój zielonej infrastruktury</w:t>
      </w:r>
    </w:p>
    <w:p w14:paraId="58DEDFBC" w14:textId="0FB47B2A" w:rsidR="00EF4285" w:rsidRPr="007E1F1C" w:rsidRDefault="00EF4285" w:rsidP="001779C0">
      <w:pPr>
        <w:spacing w:after="0" w:line="276" w:lineRule="auto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Typ </w:t>
      </w:r>
      <w:r w:rsidR="00DD34E4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projektu:</w:t>
      </w: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</w:t>
      </w:r>
      <w:r w:rsidR="0036166A" w:rsidRPr="0036166A">
        <w:rPr>
          <w:rFonts w:ascii="Open Sans Light" w:hAnsi="Open Sans Light" w:cs="Open Sans Light"/>
          <w:b/>
          <w:bCs/>
          <w:color w:val="000000"/>
          <w:sz w:val="24"/>
          <w:szCs w:val="24"/>
        </w:rPr>
        <w:t>Usuwanie niewłaściwie składowanych lub magazynowanych odpadów oraz wywołanego przez nie zagrożenia dla ludzi lub środowiska</w:t>
      </w:r>
    </w:p>
    <w:p w14:paraId="7FB1A1E5" w14:textId="27EBBC1A" w:rsidR="00DC4BDF" w:rsidRPr="00987AD1" w:rsidRDefault="00F47ADD" w:rsidP="00437AF6">
      <w:pPr>
        <w:spacing w:before="240"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78F7CF90" w:rsidR="00DD34E4" w:rsidRPr="00987AD1" w:rsidRDefault="00F621A5" w:rsidP="001779C0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Uproszczone s</w:t>
      </w:r>
      <w:r w:rsidR="00DD34E4" w:rsidRPr="00987AD1">
        <w:rPr>
          <w:rFonts w:ascii="Open Sans Light" w:hAnsi="Open Sans Light" w:cs="Open Sans Light"/>
          <w:sz w:val="24"/>
          <w:szCs w:val="24"/>
        </w:rPr>
        <w:t>tudium wy</w:t>
      </w:r>
      <w:r w:rsidR="004559A3" w:rsidRPr="00987AD1">
        <w:rPr>
          <w:rFonts w:ascii="Open Sans Light" w:hAnsi="Open Sans Light" w:cs="Open Sans Light"/>
          <w:sz w:val="24"/>
          <w:szCs w:val="24"/>
        </w:rPr>
        <w:t>kon</w:t>
      </w:r>
      <w:r w:rsidR="00DD34E4" w:rsidRPr="00987AD1">
        <w:rPr>
          <w:rFonts w:ascii="Open Sans Light" w:hAnsi="Open Sans Light" w:cs="Open Sans Light"/>
          <w:sz w:val="24"/>
          <w:szCs w:val="24"/>
        </w:rPr>
        <w:t xml:space="preserve">alności dla projektu 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DD34E4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38C8C9F8" w14:textId="4F404E38" w:rsidR="00DD34E4" w:rsidRPr="00987AD1" w:rsidRDefault="00DD34E4" w:rsidP="001779C0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Mapa przedstawiająca lokalizację zadania (obszar projektu) </w:t>
      </w:r>
      <w:r w:rsidR="008D7BBC">
        <w:rPr>
          <w:rFonts w:ascii="Open Sans Light" w:hAnsi="Open Sans Light" w:cs="Open Sans Light"/>
          <w:sz w:val="24"/>
          <w:szCs w:val="24"/>
        </w:rPr>
        <w:t>i</w:t>
      </w:r>
      <w:r w:rsidR="00F621A5">
        <w:rPr>
          <w:rFonts w:ascii="Open Sans Light" w:hAnsi="Open Sans Light" w:cs="Open Sans Light"/>
          <w:sz w:val="24"/>
          <w:szCs w:val="24"/>
        </w:rPr>
        <w:t xml:space="preserve"> dokumentacja fotograficzna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wymagany.</w:t>
      </w:r>
    </w:p>
    <w:p w14:paraId="3E85DB96" w14:textId="76FE6FAA" w:rsidR="00DD34E4" w:rsidRPr="00987AD1" w:rsidRDefault="00DD34E4" w:rsidP="001779C0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059AAFE7" w:rsidR="00DD34E4" w:rsidRPr="00987AD1" w:rsidRDefault="00DD34E4" w:rsidP="001779C0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 xml:space="preserve">z przeprowadzonym postępowaniem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ws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>. oceny oddziaływania na środowisko, zgodna z dyrektywą Parlamentu Europejskiego i Rady z dnia 27 czerwca 2001 r. nr 2001/42/WE oraz dyrektywa Parlamentu Europejskiego i Rady z dnia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 xml:space="preserve">13 grudnia 2011 r. nr 2011/92/UE (ze zmianami) - </w:t>
      </w:r>
      <w:r w:rsidR="00883D7F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;</w:t>
      </w:r>
    </w:p>
    <w:p w14:paraId="6A80AD69" w14:textId="1A5AE239" w:rsidR="00AF6091" w:rsidRPr="00987AD1" w:rsidRDefault="00AF6091" w:rsidP="001779C0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Deklaracja organu odpowiedzialnego za monitorowanie obszarów Natura 2000 – </w:t>
      </w:r>
      <w:r w:rsidR="00883D7F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5A7483AE" w14:textId="2BA56C1E" w:rsidR="00AF6091" w:rsidRPr="00987AD1" w:rsidRDefault="00AF6091" w:rsidP="001779C0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Deklaracja właściwego organu odpowiedzialnego za gospodarkę wodną – </w:t>
      </w:r>
      <w:r w:rsidR="00883D7F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7DA86A28" w14:textId="04317259" w:rsidR="000200EE" w:rsidRPr="00987AD1" w:rsidRDefault="0035339B" w:rsidP="001779C0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</w:t>
      </w:r>
      <w:r w:rsidR="00F621A5">
        <w:rPr>
          <w:rFonts w:ascii="Open Sans Light" w:hAnsi="Open Sans Light" w:cs="Open Sans Light"/>
          <w:sz w:val="24"/>
          <w:szCs w:val="24"/>
        </w:rPr>
        <w:t>opcjonalny</w:t>
      </w:r>
    </w:p>
    <w:p w14:paraId="505F3A05" w14:textId="77FC83B1" w:rsidR="0035339B" w:rsidRPr="00987AD1" w:rsidRDefault="0035339B" w:rsidP="001779C0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Wykaz dokumentów gromadzonych w celu potwierdzenia spełnienia zasady DNSH w całym cyklu życia projektu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883D7F">
        <w:rPr>
          <w:rFonts w:ascii="Open Sans Light" w:hAnsi="Open Sans Light" w:cs="Open Sans Light"/>
          <w:sz w:val="24"/>
          <w:szCs w:val="24"/>
        </w:rPr>
        <w:t>wymagany</w:t>
      </w:r>
    </w:p>
    <w:p w14:paraId="6C1DA0F2" w14:textId="2D550275" w:rsidR="0035339B" w:rsidRPr="00987AD1" w:rsidRDefault="0035339B" w:rsidP="001779C0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Decyzja o środowiskowych uwarunkowaniach dla projektu lub postanowienie o braku konieczności wydania ww. decyzji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F90899">
        <w:rPr>
          <w:rFonts w:ascii="Open Sans Light" w:hAnsi="Open Sans Light" w:cs="Open Sans Light"/>
          <w:sz w:val="24"/>
          <w:szCs w:val="24"/>
        </w:rPr>
        <w:t xml:space="preserve"> </w:t>
      </w:r>
      <w:r w:rsidR="00883D7F">
        <w:rPr>
          <w:rFonts w:ascii="Open Sans Light" w:hAnsi="Open Sans Light" w:cs="Open Sans Light"/>
          <w:sz w:val="24"/>
          <w:szCs w:val="24"/>
        </w:rPr>
        <w:t>wymagany</w:t>
      </w:r>
    </w:p>
    <w:p w14:paraId="0A59D150" w14:textId="0817CC01" w:rsidR="00DD34E4" w:rsidRPr="00987AD1" w:rsidRDefault="00DD34E4" w:rsidP="001779C0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87553E3" w14:textId="1830A235" w:rsidR="004A2C35" w:rsidRPr="00987AD1" w:rsidRDefault="00183A7B" w:rsidP="001779C0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</w:t>
      </w:r>
      <w:r w:rsidR="005C0B35">
        <w:rPr>
          <w:rFonts w:ascii="Open Sans Light" w:hAnsi="Open Sans Light" w:cs="Open Sans Light"/>
          <w:sz w:val="24"/>
          <w:szCs w:val="24"/>
        </w:rPr>
        <w:t>,</w:t>
      </w:r>
      <w:r w:rsidRPr="00987AD1">
        <w:rPr>
          <w:rFonts w:ascii="Open Sans Light" w:hAnsi="Open Sans Light" w:cs="Open Sans Light"/>
          <w:sz w:val="24"/>
          <w:szCs w:val="24"/>
        </w:rPr>
        <w:t xml:space="preserve">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69F50EE7" w:rsidR="008F7874" w:rsidRPr="00987AD1" w:rsidRDefault="00183A7B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lastRenderedPageBreak/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color w:val="000000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794992D9" w:rsidR="006C6EF7" w:rsidRPr="00987AD1" w:rsidRDefault="00183A7B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5AD726A9" w:rsidR="008021B6" w:rsidRPr="00987AD1" w:rsidRDefault="00183A7B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</w:t>
      </w:r>
      <w:r w:rsidR="00E01835" w:rsidRPr="00987AD1">
        <w:rPr>
          <w:rFonts w:ascii="Open Sans Light" w:hAnsi="Open Sans Light" w:cs="Open Sans Light"/>
          <w:sz w:val="24"/>
          <w:szCs w:val="24"/>
        </w:rPr>
        <w:t xml:space="preserve"> i związek gmin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7C20D7">
        <w:rPr>
          <w:rFonts w:ascii="Open Sans Light" w:hAnsi="Open Sans Light" w:cs="Open Sans Light"/>
          <w:sz w:val="24"/>
          <w:szCs w:val="24"/>
        </w:rPr>
        <w:t>, lub statut jednostki zawierający upoważnienie do działania w ww. zakresie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98635D" w:rsidRPr="00987AD1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36AF34E9" w:rsidR="0029501E" w:rsidRPr="00987AD1" w:rsidRDefault="00467B31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Porozumienie zawarte pomiędzy wnioskodawcą a podmiotem, który </w:t>
      </w:r>
      <w:r w:rsidR="005C0B35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został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upoważniony do ponoszenia wydatków kwalifikowanych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27BF5169" w:rsidR="00AE1AF1" w:rsidRPr="00987AD1" w:rsidRDefault="00AE1AF1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0C2A841" w:rsidR="00551FDD" w:rsidRPr="00987AD1" w:rsidRDefault="0053715A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16BD8707" w:rsidR="00AE1AF1" w:rsidRPr="00987AD1" w:rsidRDefault="00AE1AF1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16F3303E" w14:textId="282EA475" w:rsidR="0036166A" w:rsidRPr="00D60023" w:rsidRDefault="0036166A" w:rsidP="001779C0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Uzyskane decyzje </w:t>
      </w:r>
      <w:r w:rsidRPr="00322460">
        <w:rPr>
          <w:rStyle w:val="markedcontent"/>
          <w:rFonts w:ascii="Open Sans Light" w:hAnsi="Open Sans Light" w:cs="Open Sans Light"/>
          <w:sz w:val="24"/>
          <w:szCs w:val="24"/>
        </w:rPr>
        <w:t>warunkujące rozpoczęcie realizacji podstawowego zakresu projektu</w:t>
      </w:r>
      <w:r w:rsidR="009359D1">
        <w:rPr>
          <w:rStyle w:val="markedcontent"/>
          <w:rFonts w:ascii="Open Sans Light" w:hAnsi="Open Sans Light" w:cs="Open Sans Light"/>
          <w:sz w:val="24"/>
          <w:szCs w:val="24"/>
        </w:rPr>
        <w:t xml:space="preserve"> (</w:t>
      </w:r>
      <w:r w:rsidR="00883D7F">
        <w:rPr>
          <w:rStyle w:val="markedcontent"/>
          <w:rFonts w:ascii="Open Sans Light" w:hAnsi="Open Sans Light" w:cs="Open Sans Light"/>
          <w:sz w:val="24"/>
          <w:szCs w:val="24"/>
        </w:rPr>
        <w:t xml:space="preserve">w szczególności decyzja </w:t>
      </w:r>
      <w:r w:rsidR="00883D7F" w:rsidRPr="00883D7F">
        <w:rPr>
          <w:rStyle w:val="markedcontent"/>
          <w:rFonts w:ascii="Open Sans Light" w:hAnsi="Open Sans Light" w:cs="Open Sans Light"/>
          <w:sz w:val="24"/>
          <w:szCs w:val="24"/>
        </w:rPr>
        <w:t>wydana na podstawie art. 26a ustawy o odpadach</w:t>
      </w:r>
      <w:r w:rsidR="009359D1">
        <w:rPr>
          <w:rStyle w:val="markedcontent"/>
          <w:rFonts w:ascii="Open Sans Light" w:hAnsi="Open Sans Light" w:cs="Open Sans Light"/>
          <w:sz w:val="24"/>
          <w:szCs w:val="24"/>
        </w:rPr>
        <w:t>)</w:t>
      </w:r>
      <w:r w:rsidR="00883D7F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>
        <w:rPr>
          <w:rStyle w:val="markedcontent"/>
          <w:rFonts w:ascii="Open Sans Light" w:hAnsi="Open Sans Light" w:cs="Open Sans Light"/>
          <w:sz w:val="24"/>
          <w:szCs w:val="24"/>
        </w:rPr>
        <w:t>- wymagany</w:t>
      </w:r>
    </w:p>
    <w:p w14:paraId="6458FB1A" w14:textId="5F83EC92" w:rsidR="00394E1F" w:rsidRPr="00987AD1" w:rsidRDefault="00394E1F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7FF1E0F8" w:rsidR="00E60B91" w:rsidRPr="00987AD1" w:rsidRDefault="001935C4" w:rsidP="001779C0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7D508A98" w:rsidR="00E60B91" w:rsidRPr="00987AD1" w:rsidRDefault="0023048D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</w:t>
      </w:r>
      <w:r w:rsidR="00F90899">
        <w:rPr>
          <w:rFonts w:ascii="Open Sans Light" w:hAnsi="Open Sans Light" w:cs="Open Sans Light"/>
          <w:bCs/>
          <w:sz w:val="24"/>
          <w:szCs w:val="24"/>
        </w:rPr>
        <w:t xml:space="preserve">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15E1D6D7" w:rsidR="00E60B91" w:rsidRPr="00987AD1" w:rsidRDefault="0010398F" w:rsidP="001779C0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Style w:val="font-weight-bold"/>
          <w:rFonts w:ascii="Open Sans Light" w:hAnsi="Open Sans Light" w:cs="Open Sans Light"/>
          <w:sz w:val="24"/>
          <w:szCs w:val="24"/>
        </w:rPr>
        <w:t>–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Default="00BB6C72" w:rsidP="001779C0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04144AE6" w14:textId="18193837" w:rsidR="00D60023" w:rsidRPr="00D60023" w:rsidRDefault="00D60023" w:rsidP="001779C0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pomocy publicznej lub pomocy de </w:t>
      </w:r>
      <w:proofErr w:type="spellStart"/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 – </w:t>
      </w:r>
      <w:r w:rsidR="00A973B7">
        <w:rPr>
          <w:rStyle w:val="markedcontent"/>
          <w:rFonts w:ascii="Open Sans Light" w:hAnsi="Open Sans Light" w:cs="Open Sans Light"/>
          <w:sz w:val="24"/>
          <w:szCs w:val="24"/>
        </w:rPr>
        <w:t>opcjonalny</w:t>
      </w: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765889AB" w14:textId="1F507903" w:rsidR="00970632" w:rsidRPr="00437AF6" w:rsidRDefault="00D60023" w:rsidP="00437AF6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Dokumenty potwierdzające dopuszczalność pomocy publicznej lub pomocy de </w:t>
      </w:r>
      <w:proofErr w:type="spellStart"/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="005C0B35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 opcjonalny</w:t>
      </w:r>
    </w:p>
    <w:p w14:paraId="145D0703" w14:textId="5D6F7762" w:rsidR="00764726" w:rsidRDefault="00764726" w:rsidP="001779C0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Oświadczenie o kwalifikowalności VAT </w:t>
      </w:r>
      <w:r w:rsidR="00322460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opcjonalny</w:t>
      </w:r>
    </w:p>
    <w:p w14:paraId="19080F52" w14:textId="4281A6F3" w:rsidR="00E47EB1" w:rsidRPr="00437AF6" w:rsidRDefault="00B15B66" w:rsidP="001779C0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Inne dokumenty, uznane za konieczne do złożenia przez wnioskodawcę</w:t>
      </w:r>
      <w:r w:rsid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br/>
      </w:r>
      <w:r w:rsidR="00F90899" w:rsidRP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–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 xml:space="preserve">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26CF020E" w14:textId="2C88D960" w:rsidR="009F03DF" w:rsidRPr="00987AD1" w:rsidRDefault="002021CD" w:rsidP="00437AF6">
      <w:pPr>
        <w:spacing w:before="600" w:after="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1779C0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79913DFD" w:rsidR="00357143" w:rsidRPr="00987AD1" w:rsidRDefault="00357143" w:rsidP="001779C0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</w:t>
      </w:r>
      <w:proofErr w:type="spellStart"/>
      <w:r w:rsidR="000327C9" w:rsidRPr="00987AD1">
        <w:rPr>
          <w:rFonts w:ascii="Open Sans Light" w:hAnsi="Open Sans Light" w:cs="Open Sans Light"/>
          <w:sz w:val="24"/>
          <w:szCs w:val="24"/>
        </w:rPr>
        <w:t>rar</w:t>
      </w:r>
      <w:proofErr w:type="spellEnd"/>
      <w:r w:rsidR="000327C9" w:rsidRPr="00987AD1">
        <w:rPr>
          <w:rFonts w:ascii="Open Sans Light" w:hAnsi="Open Sans Light" w:cs="Open Sans Light"/>
          <w:sz w:val="24"/>
          <w:szCs w:val="24"/>
        </w:rPr>
        <w:t>, 7z…)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5665E77" w14:textId="370C16C2" w:rsidR="00357143" w:rsidRPr="00987AD1" w:rsidRDefault="00357143" w:rsidP="001779C0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xlsx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 xml:space="preserve"> lub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xlsm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 xml:space="preserve">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380857C4" w:rsidR="00357143" w:rsidRPr="00987AD1" w:rsidRDefault="00357143" w:rsidP="001779C0">
      <w:pPr>
        <w:pStyle w:val="Akapitzlist"/>
        <w:numPr>
          <w:ilvl w:val="0"/>
          <w:numId w:val="19"/>
        </w:numPr>
        <w:spacing w:after="0" w:line="276" w:lineRule="auto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1779C0">
      <w:pPr>
        <w:pStyle w:val="Akapitzlist"/>
        <w:numPr>
          <w:ilvl w:val="0"/>
          <w:numId w:val="19"/>
        </w:numPr>
        <w:spacing w:after="0" w:line="276" w:lineRule="auto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0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0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1779C0">
      <w:pPr>
        <w:pStyle w:val="Akapitzlist"/>
        <w:numPr>
          <w:ilvl w:val="0"/>
          <w:numId w:val="19"/>
        </w:numPr>
        <w:spacing w:after="0" w:line="276" w:lineRule="auto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437AF6">
      <w:pPr>
        <w:pStyle w:val="Akapitzlist"/>
        <w:numPr>
          <w:ilvl w:val="0"/>
          <w:numId w:val="19"/>
        </w:numPr>
        <w:spacing w:after="8760" w:line="276" w:lineRule="auto"/>
        <w:ind w:left="714" w:hanging="357"/>
        <w:contextualSpacing w:val="0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BD4AC34" w14:textId="77777777" w:rsidR="00DF359B" w:rsidRPr="00987AD1" w:rsidRDefault="00DF359B" w:rsidP="001779C0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A441CE" w14:textId="6D580868" w:rsidR="00D641DC" w:rsidRDefault="00DF359B" w:rsidP="001779C0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</w:t>
      </w:r>
      <w:r w:rsidR="0036166A">
        <w:rPr>
          <w:rFonts w:ascii="Open Sans Light" w:hAnsi="Open Sans Light" w:cs="Open Sans Light"/>
        </w:rPr>
        <w:t xml:space="preserve"> uproszczonego</w:t>
      </w:r>
      <w:r w:rsidRPr="00987AD1">
        <w:rPr>
          <w:rFonts w:ascii="Open Sans Light" w:hAnsi="Open Sans Light" w:cs="Open Sans Light"/>
        </w:rPr>
        <w:t xml:space="preserve"> studium wykonalności</w:t>
      </w:r>
    </w:p>
    <w:p w14:paraId="335F989D" w14:textId="77777777" w:rsidR="005C0B35" w:rsidRPr="00CD4028" w:rsidRDefault="005C0B35" w:rsidP="001779C0">
      <w:pPr>
        <w:pStyle w:val="Nagwek1"/>
        <w:spacing w:line="276" w:lineRule="auto"/>
        <w:rPr>
          <w:rFonts w:ascii="Open Sans Light" w:eastAsiaTheme="minorHAnsi" w:hAnsi="Open Sans Light" w:cs="Open Sans Light"/>
          <w:b/>
          <w:color w:val="auto"/>
          <w:sz w:val="24"/>
          <w:szCs w:val="24"/>
        </w:rPr>
      </w:pPr>
      <w:r w:rsidRPr="00CD4028">
        <w:rPr>
          <w:rFonts w:ascii="Open Sans Light" w:eastAsiaTheme="minorHAnsi" w:hAnsi="Open Sans Light" w:cs="Open Sans Light"/>
          <w:b/>
          <w:color w:val="auto"/>
          <w:sz w:val="24"/>
          <w:szCs w:val="24"/>
        </w:rPr>
        <w:t>Działanie FENX.01.05. Ochrona przyrody i rozwój zielonej infrastruktury</w:t>
      </w:r>
    </w:p>
    <w:p w14:paraId="6EE4129B" w14:textId="1843C8A4" w:rsidR="005C0B35" w:rsidRDefault="005C0B35" w:rsidP="001779C0">
      <w:pPr>
        <w:spacing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CD4028">
        <w:rPr>
          <w:rFonts w:ascii="Open Sans Light" w:hAnsi="Open Sans Light" w:cs="Open Sans Light"/>
          <w:b/>
          <w:sz w:val="24"/>
          <w:szCs w:val="24"/>
        </w:rPr>
        <w:t xml:space="preserve">Typ projektu: </w:t>
      </w:r>
      <w:r w:rsidR="0036166A" w:rsidRPr="0036166A">
        <w:rPr>
          <w:rFonts w:ascii="Open Sans Light" w:hAnsi="Open Sans Light" w:cs="Open Sans Light"/>
          <w:b/>
          <w:sz w:val="24"/>
          <w:szCs w:val="24"/>
        </w:rPr>
        <w:t>Usuwanie niewłaściwie składowanych lub magazynowanych odpadów oraz wywołanego przez nie zagrożenia dla ludzi lub środowiska</w:t>
      </w:r>
    </w:p>
    <w:p w14:paraId="79324A58" w14:textId="27A685BB" w:rsidR="00D800FE" w:rsidRPr="007E1F1C" w:rsidRDefault="00D800FE" w:rsidP="001779C0">
      <w:pPr>
        <w:pStyle w:val="Akapitzlist"/>
        <w:numPr>
          <w:ilvl w:val="0"/>
          <w:numId w:val="49"/>
        </w:num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CD4028">
        <w:rPr>
          <w:rFonts w:ascii="Open Sans Light" w:hAnsi="Open Sans Light" w:cs="Open Sans Light"/>
          <w:b/>
          <w:sz w:val="24"/>
          <w:szCs w:val="24"/>
        </w:rPr>
        <w:t xml:space="preserve">Opis </w:t>
      </w:r>
      <w:r w:rsidRPr="007E1F1C">
        <w:rPr>
          <w:rFonts w:ascii="Open Sans Light" w:hAnsi="Open Sans Light" w:cs="Open Sans Light"/>
          <w:b/>
          <w:sz w:val="24"/>
          <w:szCs w:val="24"/>
        </w:rPr>
        <w:t>projektu</w:t>
      </w:r>
    </w:p>
    <w:p w14:paraId="195B1698" w14:textId="3A651AE5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Lokalizacja przedsięwzięcia</w:t>
      </w:r>
    </w:p>
    <w:p w14:paraId="567E8C2D" w14:textId="53C5935D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Opis lokalizacji przedsięwzięcia,</w:t>
      </w:r>
    </w:p>
    <w:p w14:paraId="4FD474B6" w14:textId="5DB33E42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Dostępność terenów pod inwestycje, struktura własności, </w:t>
      </w:r>
    </w:p>
    <w:p w14:paraId="248E4635" w14:textId="40686443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Zgodność przedsięwzięcia z miejscowymi planami zagospodarowania przestrzennego</w:t>
      </w:r>
    </w:p>
    <w:p w14:paraId="01281BCD" w14:textId="7FDB2299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Sposób obecnego zagospodarowania i wykorzystania terenu</w:t>
      </w:r>
    </w:p>
    <w:p w14:paraId="7ABF31F4" w14:textId="7B74ED7A" w:rsidR="00D800FE" w:rsidRDefault="00322460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 xml:space="preserve"> Charakterystyka ilościowa i jakościowa </w:t>
      </w:r>
      <w:r w:rsidR="0036166A">
        <w:rPr>
          <w:rFonts w:ascii="Open Sans Light" w:hAnsi="Open Sans Light" w:cs="Open Sans Light"/>
          <w:sz w:val="24"/>
          <w:szCs w:val="24"/>
        </w:rPr>
        <w:t>niewłaściwie składowanych bądź magazynowanych</w:t>
      </w:r>
      <w:r>
        <w:rPr>
          <w:rFonts w:ascii="Open Sans Light" w:hAnsi="Open Sans Light" w:cs="Open Sans Light"/>
          <w:sz w:val="24"/>
          <w:szCs w:val="24"/>
        </w:rPr>
        <w:t xml:space="preserve"> odpadów </w:t>
      </w:r>
    </w:p>
    <w:p w14:paraId="68DDFB51" w14:textId="16C740A5" w:rsidR="00322460" w:rsidRPr="007E1F1C" w:rsidRDefault="00322460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 xml:space="preserve">Działania administracyjne podjęte po </w:t>
      </w:r>
      <w:r w:rsidR="0036166A">
        <w:rPr>
          <w:rFonts w:ascii="Open Sans Light" w:hAnsi="Open Sans Light" w:cs="Open Sans Light"/>
          <w:sz w:val="24"/>
          <w:szCs w:val="24"/>
        </w:rPr>
        <w:t>zidentyfikowaniu odpadów</w:t>
      </w:r>
    </w:p>
    <w:p w14:paraId="13EC5D79" w14:textId="4FC76079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Cel </w:t>
      </w:r>
      <w:r w:rsidR="0036166A">
        <w:rPr>
          <w:rFonts w:ascii="Open Sans Light" w:hAnsi="Open Sans Light" w:cs="Open Sans Light"/>
          <w:sz w:val="24"/>
          <w:szCs w:val="24"/>
        </w:rPr>
        <w:t>projektu</w:t>
      </w:r>
      <w:r w:rsidR="0036166A" w:rsidRPr="007E1F1C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6DCAA553" w14:textId="0A4237C4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stanu prawnego terenów pod kątem spełnienia zasady zanieczyszczający płaci </w:t>
      </w:r>
    </w:p>
    <w:p w14:paraId="12354E1A" w14:textId="29621AF1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potencjalnych zagrożeń</w:t>
      </w:r>
    </w:p>
    <w:p w14:paraId="2201F31F" w14:textId="33B066FE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Opis i charakterystyka wybranego rozwiązania technicznego  </w:t>
      </w:r>
    </w:p>
    <w:p w14:paraId="3FD89E2A" w14:textId="116BF724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Kwalifikowane i niekwalifikowane koszty inwestycyjne projektu ze wskazaniem przyjętej metodyki ich szacowania – identyfikacja czy projekt jest projektem dużym</w:t>
      </w:r>
    </w:p>
    <w:p w14:paraId="74388A0C" w14:textId="75F4E3E3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Koszty przygotowawcze </w:t>
      </w:r>
    </w:p>
    <w:p w14:paraId="3814D191" w14:textId="4ED76410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Koszty prac budowlano – montażowych, wielkość nakładów na majątek trwały</w:t>
      </w:r>
    </w:p>
    <w:p w14:paraId="11B86E09" w14:textId="3826A988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Pozostałe kategorie kosztów  </w:t>
      </w:r>
    </w:p>
    <w:p w14:paraId="2D4925F2" w14:textId="1C0A8E12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Harmonogram realizacji przedsięwzięcia oraz plan płatności  </w:t>
      </w:r>
    </w:p>
    <w:p w14:paraId="4BE01641" w14:textId="6D074DD2" w:rsidR="00D800FE" w:rsidRPr="007E1F1C" w:rsidRDefault="00D800FE" w:rsidP="001779C0">
      <w:pPr>
        <w:pStyle w:val="Akapitzlist"/>
        <w:numPr>
          <w:ilvl w:val="0"/>
          <w:numId w:val="49"/>
        </w:numPr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Analiza oddziaływania na środowisko, z uwzględnieniem potrzeb dotyczących przystosowania się i łagodzenia zmian klimatu oraz odporności na klęski żywiołowe</w:t>
      </w:r>
    </w:p>
    <w:p w14:paraId="6EC2A077" w14:textId="7531EDC4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Zgodność projektu z politykami ochrony środowiska  </w:t>
      </w:r>
    </w:p>
    <w:p w14:paraId="3B92E1CD" w14:textId="4597C9A8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Sposób wdrożenia przez projekt zasady zapobiegania zanieczyszczeniom źródła i zasady zanieczyszczający płaci</w:t>
      </w:r>
    </w:p>
    <w:p w14:paraId="0CED56F5" w14:textId="38A536BC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Ocena oddziaływania przedsięwzięcia na środowisko (OOŚ) (o ile dotyczy)</w:t>
      </w:r>
    </w:p>
    <w:p w14:paraId="082DB48C" w14:textId="3BF93E2F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>Przystosowanie się do zmian klimatu i łagodzenie zmian klimatu, a także odporność na klęski żywiołowe.</w:t>
      </w:r>
    </w:p>
    <w:p w14:paraId="22584B26" w14:textId="4211EE22" w:rsidR="00CA1112" w:rsidRPr="007E1F1C" w:rsidRDefault="00CA1112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Realizacja celów w zakresie zmian klimatu zgodnie ze strategią „Europa 2020”</w:t>
      </w:r>
    </w:p>
    <w:p w14:paraId="3047A70E" w14:textId="6EB774BA" w:rsidR="00CA1112" w:rsidRPr="007E1F1C" w:rsidRDefault="00CA1112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Zagrożenia związane ze zmianą klimatu, kwestie dotyczące przystosowania się do zmian klimatu i ich łagodzenia oraz odporność na klęski żywiołowe</w:t>
      </w:r>
    </w:p>
    <w:p w14:paraId="47E08B0B" w14:textId="031F11D5" w:rsidR="00CA1112" w:rsidRPr="007E1F1C" w:rsidRDefault="00CA1112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Zapewnienie odporności na bieżącą zmienność klimatu i przyszłą zmianę klimatu w ramach projektu</w:t>
      </w:r>
    </w:p>
    <w:p w14:paraId="0C42FF5D" w14:textId="65921666" w:rsidR="00CA1112" w:rsidRPr="007E1F1C" w:rsidRDefault="00CA1112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Strategiczne oceny oddziaływania na środowisko.</w:t>
      </w:r>
    </w:p>
    <w:p w14:paraId="014B4883" w14:textId="30FEA5F4" w:rsidR="00CA1112" w:rsidRPr="007E1F1C" w:rsidRDefault="00CA1112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Plany i programy podlegające ocenom oddziaływania na środowisko (zgodnie z Dyrektywą 2001/42/WE), z których wynika realizacja przedsięwzięcia.</w:t>
      </w:r>
    </w:p>
    <w:p w14:paraId="16B33BAB" w14:textId="376F3A3A" w:rsidR="00CA1112" w:rsidRPr="007E1F1C" w:rsidRDefault="00CA1112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Uwzględnienie skutków realizacji przedsięwzięcia w sporządzonych prognozach oddziaływania planów i programów na środowisko</w:t>
      </w:r>
    </w:p>
    <w:p w14:paraId="0FBE603F" w14:textId="46A9C846" w:rsidR="00D60023" w:rsidRPr="007E1F1C" w:rsidRDefault="00D60023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Spełnienie przez projekt zasady DNSH.</w:t>
      </w:r>
    </w:p>
    <w:p w14:paraId="6C1E3CD8" w14:textId="12F571EB" w:rsidR="00D800FE" w:rsidRPr="007E1F1C" w:rsidRDefault="00D800FE" w:rsidP="001779C0">
      <w:pPr>
        <w:pStyle w:val="Akapitzlist"/>
        <w:numPr>
          <w:ilvl w:val="0"/>
          <w:numId w:val="49"/>
        </w:numPr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Analiza wykonalności przedsięwzięcia wraz z analizą opcji  </w:t>
      </w:r>
    </w:p>
    <w:p w14:paraId="2C6BCA9A" w14:textId="1B88AE59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wykonalności (identyfikacja możliwych do zastosowania rozwiązań inwestycyjnych wykonalnych pod względem technicznym, ekonomicznym, środowiskowym i instytucjonalnym) </w:t>
      </w:r>
    </w:p>
    <w:p w14:paraId="3E4836AF" w14:textId="4DCBDF15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opcji  </w:t>
      </w:r>
    </w:p>
    <w:p w14:paraId="45550551" w14:textId="661B904F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strategiczna – zidentyfikowanie najbardziej korzystnych rozwiązań (analiza jakościowa, rozpatrzenie sposobów rozwiązania problemu)</w:t>
      </w:r>
    </w:p>
    <w:p w14:paraId="69B9DEBF" w14:textId="6BCBB34B" w:rsidR="00D800FE" w:rsidRPr="007E1F1C" w:rsidRDefault="00D800FE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rozwiązań technologicznych (analiza ilościowa) </w:t>
      </w:r>
    </w:p>
    <w:p w14:paraId="1AA33BED" w14:textId="7557CDC5" w:rsidR="00D800FE" w:rsidRPr="007E1F1C" w:rsidRDefault="00D800FE" w:rsidP="001779C0">
      <w:pPr>
        <w:pStyle w:val="Akapitzlist"/>
        <w:numPr>
          <w:ilvl w:val="3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Oszacowanie kosztów dla wybranych opcji   </w:t>
      </w:r>
    </w:p>
    <w:p w14:paraId="033EB437" w14:textId="5BF97D1C" w:rsidR="00D800FE" w:rsidRPr="007E1F1C" w:rsidRDefault="00D800FE" w:rsidP="001779C0">
      <w:pPr>
        <w:pStyle w:val="Akapitzlist"/>
        <w:numPr>
          <w:ilvl w:val="3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Finansowe i ekonomiczne porównanie rozważanych opcji </w:t>
      </w:r>
    </w:p>
    <w:p w14:paraId="5FF37060" w14:textId="729D8A95" w:rsidR="00D800FE" w:rsidRPr="007E1F1C" w:rsidRDefault="00D800FE" w:rsidP="001779C0">
      <w:pPr>
        <w:pStyle w:val="Akapitzlist"/>
        <w:numPr>
          <w:ilvl w:val="3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Porównanie rozważanych opcji pod względem środowiskowym (uwzględniając wpływ oraz odporność na zmianę klimatu i zagrożenia związane z klęskami żywiołowymi) </w:t>
      </w:r>
    </w:p>
    <w:p w14:paraId="22BEAC81" w14:textId="22B5A445" w:rsidR="00D800FE" w:rsidRPr="007E1F1C" w:rsidRDefault="00D800FE" w:rsidP="001779C0">
      <w:pPr>
        <w:pStyle w:val="Akapitzlist"/>
        <w:numPr>
          <w:ilvl w:val="3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Wybór najlepszego rozwiązania spośród rozważanych opcji wraz z uzasadnieniem dokonanego wyboru.</w:t>
      </w:r>
    </w:p>
    <w:p w14:paraId="18026AC1" w14:textId="6D1FF54C" w:rsidR="00D800FE" w:rsidRPr="007E1F1C" w:rsidRDefault="00D800FE" w:rsidP="001779C0">
      <w:pPr>
        <w:pStyle w:val="Akapitzlist"/>
        <w:numPr>
          <w:ilvl w:val="0"/>
          <w:numId w:val="49"/>
        </w:numPr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Plan finansowania </w:t>
      </w:r>
      <w:r w:rsidR="00D60023"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i wdrożenia </w:t>
      </w:r>
      <w:r w:rsidRPr="007E1F1C">
        <w:rPr>
          <w:rFonts w:ascii="Open Sans Light" w:hAnsi="Open Sans Light" w:cs="Open Sans Light"/>
          <w:b/>
          <w:bCs/>
          <w:sz w:val="24"/>
          <w:szCs w:val="24"/>
        </w:rPr>
        <w:t>przedsięwzięcia</w:t>
      </w:r>
    </w:p>
    <w:p w14:paraId="6053C065" w14:textId="5EE6CCCF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Struktura i źródła finansowania kosztów kwalifikowanych i niekwalifikowanych przedsięwzięcia z podziałem na lata realizacji inwestycji</w:t>
      </w:r>
    </w:p>
    <w:p w14:paraId="549F8346" w14:textId="4D69E7CA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>Ocena zdolności beneficjenta i innych podmiotów (o ile dotyczy) do zapewnienia wkładu własnego i informacja o stanie zaawansowania pozyskania środków zewnętrznych</w:t>
      </w:r>
    </w:p>
    <w:p w14:paraId="5AD285DA" w14:textId="38FAE015" w:rsidR="00D800FE" w:rsidRPr="007E1F1C" w:rsidRDefault="00D800FE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Przewidywane sposoby i ocena realności ustanowienia zabezpieczeń dla zwrotnych źródeł finansowania inwestycji (o ile dotyczy) z uwzględnieniem wyników analizy ryzyka </w:t>
      </w:r>
    </w:p>
    <w:p w14:paraId="0A461773" w14:textId="49218A9E" w:rsidR="00D60023" w:rsidRPr="007E1F1C" w:rsidRDefault="00D60023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Struktura i schemat organizacyjny JRP </w:t>
      </w:r>
    </w:p>
    <w:p w14:paraId="3DFE3C8B" w14:textId="55B51A42" w:rsidR="00D60023" w:rsidRPr="007E1F1C" w:rsidRDefault="00D60023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Proponowany zakres kontraktów, procedury kontraktowe, harmonogram ogłaszania przetargów i podpisywania kontraktów </w:t>
      </w:r>
    </w:p>
    <w:p w14:paraId="5D6568F3" w14:textId="79826F0E" w:rsidR="00D60023" w:rsidRPr="007E1F1C" w:rsidRDefault="00D60023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Harmonogram realizacji przedsięwzięcia oraz plan płatności </w:t>
      </w:r>
    </w:p>
    <w:p w14:paraId="18770AEC" w14:textId="77777777" w:rsidR="008D7BBC" w:rsidRPr="007E1F1C" w:rsidRDefault="008D7BBC" w:rsidP="001779C0">
      <w:pPr>
        <w:pStyle w:val="Akapitzlist"/>
        <w:numPr>
          <w:ilvl w:val="0"/>
          <w:numId w:val="49"/>
        </w:numPr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Analiza finansowa i analiza trwałości (stabilności)</w:t>
      </w:r>
    </w:p>
    <w:p w14:paraId="29EAC8F1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Założenia makroekonomiczne, metodyka analizy finansowej i analizy trwałości (stabilności)</w:t>
      </w:r>
    </w:p>
    <w:p w14:paraId="2F2B8AC9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Prognoza przychodów (o ile dotyczy) i kosztów operacyjnych (wg ich rodzajów) w okresie odniesienia </w:t>
      </w:r>
    </w:p>
    <w:p w14:paraId="34781491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finansowej efektywności </w:t>
      </w:r>
    </w:p>
    <w:p w14:paraId="7DB9C674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Wskaźniki finansowej efektywności projektu (FNPV/C i FIRR/C bez oraz ze wsparciem UE)</w:t>
      </w:r>
    </w:p>
    <w:p w14:paraId="5AFF50CB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Wskaźniki finansowej efektywności kapitału krajowego (FNPV/K i FIRR/K bez oraz ze wsparciem UE) – o ile dotyczy</w:t>
      </w:r>
    </w:p>
    <w:p w14:paraId="0FCB50F1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Prognoza sprawozdań finansowych sporządzanych przez beneficjenta i innych podmiotów (jeśli występują) w kontekście potwierdzenia trwałości (stabilności) finansowej w fazie operacyjnej oraz ich ocena, w tym analiza wskaźnikowa</w:t>
      </w:r>
    </w:p>
    <w:p w14:paraId="05ECF530" w14:textId="77777777" w:rsidR="008D7BBC" w:rsidRPr="007E1F1C" w:rsidRDefault="008D7BBC" w:rsidP="001779C0">
      <w:pPr>
        <w:pStyle w:val="Akapitzlist"/>
        <w:numPr>
          <w:ilvl w:val="0"/>
          <w:numId w:val="49"/>
        </w:numPr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Analiza kosztów i korzyści</w:t>
      </w:r>
    </w:p>
    <w:p w14:paraId="6E86D86C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Metodyka analizy kosztów i korzyści </w:t>
      </w:r>
    </w:p>
    <w:p w14:paraId="4629AAF5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kosztów i korzyści związanych z realizacją projektu z punktu widzenia całej społeczności (jakościowa i ilościowa)</w:t>
      </w:r>
    </w:p>
    <w:p w14:paraId="47905F6E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ekonomiczna (o ile dotyczy)</w:t>
      </w:r>
    </w:p>
    <w:p w14:paraId="08A9E46B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Efekty fiskalne (transfery)</w:t>
      </w:r>
    </w:p>
    <w:p w14:paraId="78AC8E19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Efekty zewnętrzne </w:t>
      </w:r>
    </w:p>
    <w:p w14:paraId="0ED43BE3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Przekształcenie cen rynkowych na ceny rozrachunkowe</w:t>
      </w:r>
    </w:p>
    <w:p w14:paraId="7F0A2F08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ekonomicznej efektywności projektu (ENPV i ERR)</w:t>
      </w:r>
    </w:p>
    <w:p w14:paraId="44BB2F41" w14:textId="77777777" w:rsidR="008D7BBC" w:rsidRPr="007E1F1C" w:rsidRDefault="008D7BBC" w:rsidP="001779C0">
      <w:pPr>
        <w:pStyle w:val="Akapitzlist"/>
        <w:numPr>
          <w:ilvl w:val="0"/>
          <w:numId w:val="49"/>
        </w:numPr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Analiza ryzyka i wrażliwości  </w:t>
      </w:r>
    </w:p>
    <w:p w14:paraId="5C10B970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wrażliwości</w:t>
      </w:r>
    </w:p>
    <w:p w14:paraId="08A6DBF3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Badane zmienne i ich wpływ na wskaźniki finansowej i ekonomicznej efektywności projektu oraz jego trwałość finansową </w:t>
      </w:r>
    </w:p>
    <w:p w14:paraId="0450C017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 xml:space="preserve">Zestawienie zmiennych zidentyfikowanych jako krytyczne </w:t>
      </w:r>
    </w:p>
    <w:p w14:paraId="28E5D86C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Wartości progowe dla zmiennych krytycznych (jeśli dotyczy)</w:t>
      </w:r>
    </w:p>
    <w:p w14:paraId="14AC6534" w14:textId="77777777" w:rsidR="008D7BBC" w:rsidRPr="007E1F1C" w:rsidRDefault="008D7BBC" w:rsidP="001779C0">
      <w:pPr>
        <w:pStyle w:val="Akapitzlist"/>
        <w:numPr>
          <w:ilvl w:val="1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Jakościowa analiza ryzyka </w:t>
      </w:r>
    </w:p>
    <w:p w14:paraId="34B337AF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Lista zidentyfikowanych czynników ryzyka  </w:t>
      </w:r>
    </w:p>
    <w:p w14:paraId="5A6C0C77" w14:textId="77777777" w:rsidR="008D7BBC" w:rsidRPr="007E1F1C" w:rsidRDefault="008D7BBC" w:rsidP="001779C0">
      <w:pPr>
        <w:pStyle w:val="Akapitzlist"/>
        <w:numPr>
          <w:ilvl w:val="2"/>
          <w:numId w:val="4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Matryca ryzyka (przyczyny wystąpienia ryzyka, ew. związek z analizą wrażliwości, skutki i prawdopodobieństwo wystąpienia, poziom ryzyka, </w:t>
      </w:r>
      <w:proofErr w:type="spellStart"/>
      <w:r w:rsidRPr="007E1F1C">
        <w:rPr>
          <w:rFonts w:ascii="Open Sans Light" w:hAnsi="Open Sans Light" w:cs="Open Sans Light"/>
          <w:sz w:val="24"/>
          <w:szCs w:val="24"/>
        </w:rPr>
        <w:t>mitygacja</w:t>
      </w:r>
      <w:proofErr w:type="spellEnd"/>
      <w:r w:rsidRPr="007E1F1C">
        <w:rPr>
          <w:rFonts w:ascii="Open Sans Light" w:hAnsi="Open Sans Light" w:cs="Open Sans Light"/>
          <w:sz w:val="24"/>
          <w:szCs w:val="24"/>
        </w:rPr>
        <w:t xml:space="preserve"> ryzyka, ryzyka rezydualne) </w:t>
      </w:r>
    </w:p>
    <w:p w14:paraId="7E270D8A" w14:textId="77777777" w:rsidR="008D7BBC" w:rsidRPr="007E1F1C" w:rsidRDefault="008D7BBC" w:rsidP="00EA2355">
      <w:pPr>
        <w:pStyle w:val="Akapitzlist"/>
        <w:numPr>
          <w:ilvl w:val="2"/>
          <w:numId w:val="49"/>
        </w:numPr>
        <w:spacing w:after="9360" w:line="276" w:lineRule="auto"/>
        <w:ind w:left="1225" w:hanging="505"/>
        <w:contextualSpacing w:val="0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Interpretacja matrycy ryzyka</w:t>
      </w:r>
    </w:p>
    <w:p w14:paraId="1F08669C" w14:textId="77777777" w:rsidR="008D7BBC" w:rsidRPr="00987AD1" w:rsidRDefault="008D7BBC" w:rsidP="001779C0">
      <w:pPr>
        <w:spacing w:line="276" w:lineRule="auto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1200ACBB" wp14:editId="3EEF4452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E2F140" w14:textId="77777777" w:rsidR="008D7BBC" w:rsidRPr="0088427D" w:rsidRDefault="008D7BBC" w:rsidP="00EA2355">
      <w:pPr>
        <w:spacing w:before="480" w:after="0" w:line="276" w:lineRule="auto"/>
        <w:jc w:val="center"/>
        <w:rPr>
          <w:rFonts w:ascii="Open Sans Light" w:eastAsiaTheme="majorEastAsia" w:hAnsi="Open Sans Light" w:cs="Open Sans Light"/>
          <w:color w:val="2F5496" w:themeColor="accent1" w:themeShade="BF"/>
          <w:sz w:val="32"/>
          <w:szCs w:val="32"/>
        </w:rPr>
      </w:pPr>
      <w:r w:rsidRPr="0088427D">
        <w:rPr>
          <w:rFonts w:ascii="Open Sans Light" w:eastAsiaTheme="majorEastAsia" w:hAnsi="Open Sans Light" w:cs="Open Sans Light"/>
          <w:color w:val="2F5496" w:themeColor="accent1" w:themeShade="BF"/>
          <w:sz w:val="32"/>
          <w:szCs w:val="32"/>
        </w:rPr>
        <w:t>Założenia do analiz finansowych</w:t>
      </w:r>
    </w:p>
    <w:p w14:paraId="4FC9BBB0" w14:textId="77777777" w:rsidR="008D7BBC" w:rsidRPr="007E1F1C" w:rsidRDefault="008D7BBC" w:rsidP="00EA2355">
      <w:pPr>
        <w:spacing w:before="480"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Działanie FENX.01.05. Ochrona przyrody i rozwój zielonej infrastruktury</w:t>
      </w:r>
    </w:p>
    <w:p w14:paraId="09323D6C" w14:textId="77777777" w:rsidR="008D7BBC" w:rsidRPr="007E1F1C" w:rsidRDefault="008D7BBC" w:rsidP="001779C0">
      <w:pPr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Typ projektu: </w:t>
      </w:r>
      <w:r w:rsidRPr="0036166A">
        <w:rPr>
          <w:rFonts w:ascii="Open Sans Light" w:hAnsi="Open Sans Light" w:cs="Open Sans Light"/>
          <w:b/>
          <w:bCs/>
          <w:sz w:val="24"/>
          <w:szCs w:val="24"/>
        </w:rPr>
        <w:t>Usuwanie niewłaściwie składowanych lub magazynowanych odpadów oraz wywołanego przez nie zagrożenia dla ludzi lub środowiska</w:t>
      </w:r>
    </w:p>
    <w:p w14:paraId="1292E0F0" w14:textId="77777777" w:rsidR="008D7BBC" w:rsidRPr="0088427D" w:rsidRDefault="008D7BBC" w:rsidP="00EA2355">
      <w:pPr>
        <w:pStyle w:val="Akapitzlist"/>
        <w:numPr>
          <w:ilvl w:val="0"/>
          <w:numId w:val="77"/>
        </w:numPr>
        <w:spacing w:before="240" w:after="0" w:line="276" w:lineRule="auto"/>
        <w:ind w:left="357" w:hanging="357"/>
        <w:contextualSpacing w:val="0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88427D">
        <w:rPr>
          <w:rFonts w:ascii="Open Sans Light" w:eastAsia="Calibri" w:hAnsi="Open Sans Light" w:cs="Open Sans Light"/>
          <w:b/>
          <w:bCs/>
          <w:sz w:val="24"/>
          <w:szCs w:val="24"/>
        </w:rPr>
        <w:t>Okres odniesienia.</w:t>
      </w:r>
    </w:p>
    <w:p w14:paraId="27CC044C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Należy przyjąć długość okresu odniesienia zgodnie z okresami odniesienia tożsamymi dla analizy finansowej i analizy ekonomicznej zdefiniowanymi dla poprzedniej perspektywy finansowej UE i stosowanymi w ramach programu PO </w:t>
      </w:r>
      <w:proofErr w:type="spellStart"/>
      <w:r w:rsidRPr="007E1F1C">
        <w:rPr>
          <w:rFonts w:ascii="Open Sans Light" w:eastAsia="Calibri" w:hAnsi="Open Sans Light" w:cs="Open Sans Light"/>
          <w:sz w:val="24"/>
          <w:szCs w:val="24"/>
        </w:rPr>
        <w:t>IiŚ</w:t>
      </w:r>
      <w:proofErr w:type="spellEnd"/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 2014-2020</w:t>
      </w:r>
      <w:r>
        <w:rPr>
          <w:rFonts w:ascii="Open Sans Light" w:eastAsia="Calibri" w:hAnsi="Open Sans Light" w:cs="Open Sans Light"/>
          <w:sz w:val="24"/>
          <w:szCs w:val="24"/>
        </w:rPr>
        <w:t xml:space="preserve"> </w:t>
      </w:r>
      <w:r w:rsidRPr="007E1F1C">
        <w:rPr>
          <w:rFonts w:ascii="Open Sans Light" w:eastAsia="Calibri" w:hAnsi="Open Sans Light" w:cs="Open Sans Light"/>
          <w:sz w:val="24"/>
          <w:szCs w:val="24"/>
        </w:rPr>
        <w:t>(zgodnie z Załącznikiem I do rozporządzenia nr KE 480/2014), tj.:</w:t>
      </w:r>
    </w:p>
    <w:p w14:paraId="58CD986C" w14:textId="77777777" w:rsidR="008D7BBC" w:rsidRPr="0088427D" w:rsidRDefault="008D7BBC" w:rsidP="001779C0">
      <w:pPr>
        <w:pStyle w:val="Akapitzlist"/>
        <w:numPr>
          <w:ilvl w:val="0"/>
          <w:numId w:val="74"/>
        </w:num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>Gospodarowanie odpadami: 25 lat.</w:t>
      </w:r>
    </w:p>
    <w:p w14:paraId="2F459FB0" w14:textId="77777777" w:rsidR="008D7BBC" w:rsidRPr="0088427D" w:rsidRDefault="008D7BBC" w:rsidP="00EA2355">
      <w:pPr>
        <w:pStyle w:val="Akapitzlist"/>
        <w:numPr>
          <w:ilvl w:val="0"/>
          <w:numId w:val="77"/>
        </w:numPr>
        <w:spacing w:before="480" w:after="0" w:line="276" w:lineRule="auto"/>
        <w:ind w:left="357" w:hanging="357"/>
        <w:contextualSpacing w:val="0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88427D">
        <w:rPr>
          <w:rFonts w:ascii="Open Sans Light" w:eastAsia="Calibri" w:hAnsi="Open Sans Light" w:cs="Open Sans Light"/>
          <w:b/>
          <w:bCs/>
          <w:sz w:val="24"/>
          <w:szCs w:val="24"/>
        </w:rPr>
        <w:t>Wartość rezydualna.</w:t>
      </w:r>
    </w:p>
    <w:p w14:paraId="1D0BE720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7BD865B7" w14:textId="77777777" w:rsidR="008D7BBC" w:rsidRPr="0088427D" w:rsidRDefault="008D7BBC" w:rsidP="00EA2355">
      <w:pPr>
        <w:pStyle w:val="Akapitzlist"/>
        <w:numPr>
          <w:ilvl w:val="0"/>
          <w:numId w:val="77"/>
        </w:numPr>
        <w:spacing w:before="480" w:after="0" w:line="276" w:lineRule="auto"/>
        <w:ind w:left="357" w:hanging="357"/>
        <w:contextualSpacing w:val="0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88427D">
        <w:rPr>
          <w:rFonts w:ascii="Open Sans Light" w:eastAsia="Calibri" w:hAnsi="Open Sans Light" w:cs="Open Sans Light"/>
          <w:b/>
          <w:bCs/>
          <w:sz w:val="24"/>
          <w:szCs w:val="24"/>
        </w:rPr>
        <w:t>Ceny stałe/bieżące (zmienne).</w:t>
      </w:r>
    </w:p>
    <w:p w14:paraId="37C318E3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Zgodnie z dokumentem: 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„Wytyczne dotyczące zagadnień związanych z przygotowaniem projektów inwestycyjnych, w tym hybrydowych na lata 2021-2027”</w:t>
      </w:r>
      <w:r w:rsidRPr="007E1F1C">
        <w:rPr>
          <w:rFonts w:ascii="Open Sans Light" w:eastAsia="Calibri" w:hAnsi="Open Sans Light" w:cs="Open Sans Light"/>
          <w:sz w:val="24"/>
          <w:szCs w:val="24"/>
        </w:rPr>
        <w:t>, Roz. 6 Analiza finansowa, Podrozdział 6.4, analiza finansowa może być sporządzona:</w:t>
      </w:r>
    </w:p>
    <w:p w14:paraId="529E9C99" w14:textId="77777777" w:rsidR="008D7BBC" w:rsidRPr="0088427D" w:rsidRDefault="008D7BBC" w:rsidP="001779C0">
      <w:pPr>
        <w:pStyle w:val="Akapitzlist"/>
        <w:numPr>
          <w:ilvl w:val="0"/>
          <w:numId w:val="71"/>
        </w:numPr>
        <w:spacing w:after="0" w:line="276" w:lineRule="auto"/>
        <w:contextualSpacing w:val="0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>w cenach stałych lub</w:t>
      </w:r>
    </w:p>
    <w:p w14:paraId="29EA7525" w14:textId="77777777" w:rsidR="008D7BBC" w:rsidRPr="0088427D" w:rsidRDefault="008D7BBC" w:rsidP="001779C0">
      <w:pPr>
        <w:pStyle w:val="Akapitzlist"/>
        <w:numPr>
          <w:ilvl w:val="0"/>
          <w:numId w:val="71"/>
        </w:numPr>
        <w:spacing w:after="0" w:line="276" w:lineRule="auto"/>
        <w:contextualSpacing w:val="0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>w cenach bieżących, przy czym, o ile to możliwe i uzasadnione, powinna być przeprowadzona w cenach stałych.</w:t>
      </w:r>
    </w:p>
    <w:p w14:paraId="229CE4EF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Ceny stałe/bieżące determinują stosowanie określonych stawek dyskontowych:</w:t>
      </w:r>
    </w:p>
    <w:p w14:paraId="78076C27" w14:textId="77777777" w:rsidR="008D7BBC" w:rsidRPr="0088427D" w:rsidRDefault="008D7BBC" w:rsidP="001779C0">
      <w:pPr>
        <w:pStyle w:val="Akapitzlist"/>
        <w:numPr>
          <w:ilvl w:val="0"/>
          <w:numId w:val="72"/>
        </w:numPr>
        <w:spacing w:after="0" w:line="276" w:lineRule="auto"/>
        <w:contextualSpacing w:val="0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 xml:space="preserve">4 % do analizy finansowej prowadzonej w cenach stałych, </w:t>
      </w:r>
    </w:p>
    <w:p w14:paraId="4FCD115F" w14:textId="77777777" w:rsidR="008D7BBC" w:rsidRPr="0088427D" w:rsidRDefault="008D7BBC" w:rsidP="001779C0">
      <w:pPr>
        <w:pStyle w:val="Akapitzlist"/>
        <w:numPr>
          <w:ilvl w:val="0"/>
          <w:numId w:val="72"/>
        </w:numPr>
        <w:spacing w:after="0" w:line="276" w:lineRule="auto"/>
        <w:contextualSpacing w:val="0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 xml:space="preserve">9 % dla analizy finansowej prowadzonej w cenach bieżących. </w:t>
      </w:r>
    </w:p>
    <w:p w14:paraId="0920576F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możliwość dokonywania wyboru przez wnioskodawcę stosowania cen stałych lub zmiennych, ale z zaleceniem, że:</w:t>
      </w:r>
    </w:p>
    <w:p w14:paraId="38C702B5" w14:textId="77777777" w:rsidR="008D7BBC" w:rsidRPr="0088427D" w:rsidRDefault="008D7BBC" w:rsidP="001779C0">
      <w:pPr>
        <w:pStyle w:val="Akapitzlist"/>
        <w:numPr>
          <w:ilvl w:val="0"/>
          <w:numId w:val="73"/>
        </w:numPr>
        <w:spacing w:after="0" w:line="276" w:lineRule="auto"/>
        <w:contextualSpacing w:val="0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45BFBB3C" w14:textId="77777777" w:rsidR="008D7BBC" w:rsidRPr="0088427D" w:rsidRDefault="008D7BBC" w:rsidP="001779C0">
      <w:pPr>
        <w:pStyle w:val="Akapitzlist"/>
        <w:numPr>
          <w:ilvl w:val="0"/>
          <w:numId w:val="73"/>
        </w:numPr>
        <w:spacing w:after="0" w:line="276" w:lineRule="auto"/>
        <w:contextualSpacing w:val="0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lastRenderedPageBreak/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0765F812" w14:textId="77777777" w:rsidR="008D7BBC" w:rsidRPr="0088427D" w:rsidRDefault="008D7BBC" w:rsidP="00EA2355">
      <w:pPr>
        <w:pStyle w:val="Akapitzlist"/>
        <w:numPr>
          <w:ilvl w:val="0"/>
          <w:numId w:val="77"/>
        </w:numPr>
        <w:spacing w:before="240" w:after="0" w:line="276" w:lineRule="auto"/>
        <w:ind w:left="357" w:hanging="357"/>
        <w:contextualSpacing w:val="0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88427D">
        <w:rPr>
          <w:rFonts w:ascii="Open Sans Light" w:eastAsia="Calibri" w:hAnsi="Open Sans Light" w:cs="Open Sans Light"/>
          <w:b/>
          <w:bCs/>
          <w:sz w:val="24"/>
          <w:szCs w:val="24"/>
        </w:rPr>
        <w:t>Rezerwa na nieprzewidziane wydatki.</w:t>
      </w:r>
    </w:p>
    <w:p w14:paraId="6DEA7240" w14:textId="77777777" w:rsidR="008D7BB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zostanie szczegółowa analiza ryzyka, uzasadniająca utworzenie rezerwy. </w:t>
      </w:r>
    </w:p>
    <w:p w14:paraId="562DE56E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Rezerwy na nieprzewidziane wydatki nie uwzględnia się dla potrzeb kalkulacji wskaźników efektywności finansowej i ekonomicznej oraz trwałości finansowej projektu z uwagi na fakt, iż rezerwy nie stanowią przepływu środków pieniężnych. W związku z tym, wartość rezerw na nieprzewidziane wydatki należy prezentować oddzielnie od nakładów inwestycyjnych na realizację projektu.</w:t>
      </w:r>
    </w:p>
    <w:p w14:paraId="39C78142" w14:textId="77777777" w:rsidR="008D7BB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Rezerwy na nieprzewidziane wydatki nie stanowią kosztów operacyjnych. Ponadto niepieniężne pozycje rachunkowe, takie jak rezerwy na nieprzewidziane wydatki, nie mogą być przedmiotem analizy finansowej. </w:t>
      </w:r>
    </w:p>
    <w:p w14:paraId="359B20EC" w14:textId="77777777" w:rsidR="008D7BBC" w:rsidRPr="007E1F1C" w:rsidRDefault="008D7BBC" w:rsidP="00EA2355">
      <w:pPr>
        <w:spacing w:before="240"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4A03D1">
        <w:rPr>
          <w:rFonts w:ascii="Open Sans Light" w:eastAsia="Calibri" w:hAnsi="Open Sans Light" w:cs="Open Sans Light"/>
          <w:sz w:val="24"/>
          <w:szCs w:val="24"/>
        </w:rPr>
        <w:t>Całkowity koszt projektu/inwestycji obejmuje wydatki kwalifikowalne i niekwalifikowalne, o których mowa w dokumencie „Wytyczne dotyczące zagadnień związanych z przygotowaniem projektów inwestycyjnych, w tym hybrydowych na lata 2021-2027”.</w:t>
      </w:r>
    </w:p>
    <w:p w14:paraId="211795C2" w14:textId="77777777" w:rsidR="008D7BBC" w:rsidRPr="0088427D" w:rsidRDefault="008D7BBC" w:rsidP="00EA2355">
      <w:pPr>
        <w:pStyle w:val="Akapitzlist"/>
        <w:numPr>
          <w:ilvl w:val="0"/>
          <w:numId w:val="77"/>
        </w:numPr>
        <w:spacing w:before="240" w:after="0" w:line="276" w:lineRule="auto"/>
        <w:ind w:left="357" w:hanging="357"/>
        <w:contextualSpacing w:val="0"/>
        <w:rPr>
          <w:rFonts w:ascii="Open Sans Light" w:eastAsia="Calibri" w:hAnsi="Open Sans Light" w:cs="Open Sans Light"/>
          <w:b/>
          <w:bCs/>
          <w:sz w:val="24"/>
          <w:szCs w:val="24"/>
        </w:rPr>
      </w:pPr>
      <w:bookmarkStart w:id="1" w:name="_Hlk152334655"/>
      <w:r w:rsidRPr="0088427D">
        <w:rPr>
          <w:rFonts w:ascii="Open Sans Light" w:eastAsia="Calibri" w:hAnsi="Open Sans Light" w:cs="Open Sans Light"/>
          <w:b/>
          <w:bCs/>
          <w:sz w:val="24"/>
          <w:szCs w:val="24"/>
        </w:rPr>
        <w:t>Dostępność cenowa.</w:t>
      </w:r>
    </w:p>
    <w:bookmarkEnd w:id="1"/>
    <w:p w14:paraId="20D8F5B7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W ramach działania FENX.01.05. </w:t>
      </w:r>
      <w:r w:rsidRPr="0036166A">
        <w:rPr>
          <w:rFonts w:ascii="Open Sans Light" w:eastAsia="Calibri" w:hAnsi="Open Sans Light" w:cs="Open Sans Light"/>
          <w:sz w:val="24"/>
          <w:szCs w:val="24"/>
        </w:rPr>
        <w:t>Usuwanie niewłaściwie składowanych lub magazynowanych odpadów oraz wywołanego przez nie zagrożenia dla ludzi lub środowiska</w:t>
      </w:r>
      <w:r>
        <w:rPr>
          <w:rFonts w:ascii="Open Sans Light" w:eastAsia="Calibri" w:hAnsi="Open Sans Light" w:cs="Open Sans Light"/>
          <w:sz w:val="24"/>
          <w:szCs w:val="24"/>
        </w:rPr>
        <w:t xml:space="preserve"> </w:t>
      </w: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nie stosuje się dostępności cenowej. </w:t>
      </w:r>
    </w:p>
    <w:p w14:paraId="32DF82EA" w14:textId="77777777" w:rsidR="008D7BBC" w:rsidRPr="0088427D" w:rsidRDefault="008D7BBC" w:rsidP="00EA2355">
      <w:pPr>
        <w:pStyle w:val="Akapitzlist"/>
        <w:numPr>
          <w:ilvl w:val="0"/>
          <w:numId w:val="77"/>
        </w:numPr>
        <w:spacing w:before="240" w:after="0" w:line="276" w:lineRule="auto"/>
        <w:ind w:left="357" w:hanging="357"/>
        <w:contextualSpacing w:val="0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88427D">
        <w:rPr>
          <w:rFonts w:ascii="Open Sans Light" w:eastAsia="Calibri" w:hAnsi="Open Sans Light" w:cs="Open Sans Light"/>
          <w:b/>
          <w:bCs/>
          <w:sz w:val="24"/>
          <w:szCs w:val="24"/>
        </w:rPr>
        <w:t>Analiza efektywności kosztowej DGC</w:t>
      </w:r>
    </w:p>
    <w:p w14:paraId="43AE1650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do stosowania regulacje dotyczące przeprowadzania analiz efektywności kosztowej zgodnie z dokumentem „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Metodyka analizy efektywności kosztowej w oparciu o wskaźnik dynamicznego kosztu jednostkowego (</w:t>
      </w:r>
      <w:proofErr w:type="spellStart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Dynamic</w:t>
      </w:r>
      <w:proofErr w:type="spellEnd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 xml:space="preserve"> </w:t>
      </w:r>
      <w:proofErr w:type="spellStart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Generation</w:t>
      </w:r>
      <w:proofErr w:type="spellEnd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 xml:space="preserve"> </w:t>
      </w:r>
      <w:proofErr w:type="spellStart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Cost</w:t>
      </w:r>
      <w:proofErr w:type="spellEnd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)</w:t>
      </w:r>
      <w:r w:rsidRPr="007E1F1C">
        <w:rPr>
          <w:rFonts w:ascii="Open Sans Light" w:eastAsia="Calibri" w:hAnsi="Open Sans Light" w:cs="Open Sans Light"/>
          <w:sz w:val="24"/>
          <w:szCs w:val="24"/>
        </w:rPr>
        <w:t>”.</w:t>
      </w:r>
    </w:p>
    <w:p w14:paraId="344E7177" w14:textId="77777777" w:rsidR="008D7BBC" w:rsidRPr="0088427D" w:rsidRDefault="008D7BBC" w:rsidP="001779C0">
      <w:pPr>
        <w:pStyle w:val="Akapitzlist"/>
        <w:numPr>
          <w:ilvl w:val="0"/>
          <w:numId w:val="77"/>
        </w:numPr>
        <w:spacing w:after="0" w:line="276" w:lineRule="auto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88427D">
        <w:rPr>
          <w:rFonts w:ascii="Open Sans Light" w:eastAsia="Calibri" w:hAnsi="Open Sans Light" w:cs="Open Sans Light"/>
          <w:b/>
          <w:bCs/>
          <w:sz w:val="24"/>
          <w:szCs w:val="24"/>
        </w:rPr>
        <w:t>Uproszczenia w zależności od wartości kosztów całkowitych projektu.</w:t>
      </w:r>
    </w:p>
    <w:p w14:paraId="4063B481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lastRenderedPageBreak/>
        <w:t xml:space="preserve">Należy przyjąć do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4C107D46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Czyli, w ujęciu finansowym są to koszty brutto (koszt brutto = koszty netto + podatek VAT). </w:t>
      </w:r>
    </w:p>
    <w:p w14:paraId="2FA2BA0D" w14:textId="77777777" w:rsidR="008D7BBC" w:rsidRPr="007E1F1C" w:rsidRDefault="008D7BBC" w:rsidP="001779C0">
      <w:p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Wykaz uproszczeń:</w:t>
      </w:r>
    </w:p>
    <w:p w14:paraId="10C8537A" w14:textId="77777777" w:rsidR="008D7BBC" w:rsidRPr="0088427D" w:rsidRDefault="008D7BBC" w:rsidP="001779C0">
      <w:pPr>
        <w:pStyle w:val="Akapitzlist"/>
        <w:numPr>
          <w:ilvl w:val="0"/>
          <w:numId w:val="75"/>
        </w:num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 xml:space="preserve">brak obowiązku przeprowadzenia pełnej analizy kosztów i korzyści, z zastrzeżeniem, że należy sporządzić analizę kosztów i korzyści w uproszczonej, opisowej formie, </w:t>
      </w:r>
    </w:p>
    <w:p w14:paraId="70371F1F" w14:textId="77777777" w:rsidR="008D7BBC" w:rsidRPr="0088427D" w:rsidRDefault="008D7BBC" w:rsidP="001779C0">
      <w:pPr>
        <w:pStyle w:val="Akapitzlist"/>
        <w:numPr>
          <w:ilvl w:val="0"/>
          <w:numId w:val="75"/>
        </w:numPr>
        <w:spacing w:after="0" w:line="276" w:lineRule="auto"/>
        <w:rPr>
          <w:rFonts w:ascii="Open Sans Light" w:eastAsia="Calibri" w:hAnsi="Open Sans Light" w:cs="Open Sans Light"/>
          <w:sz w:val="24"/>
          <w:szCs w:val="24"/>
        </w:rPr>
      </w:pPr>
      <w:r w:rsidRPr="0088427D">
        <w:rPr>
          <w:rFonts w:ascii="Open Sans Light" w:eastAsia="Calibri" w:hAnsi="Open Sans Light" w:cs="Open Sans Light"/>
          <w:sz w:val="24"/>
          <w:szCs w:val="24"/>
        </w:rPr>
        <w:t>brak obowiązku obliczania wskaźników FNPV/K, FRR/K.</w:t>
      </w:r>
    </w:p>
    <w:p w14:paraId="21A89F7D" w14:textId="77777777" w:rsidR="007D405C" w:rsidRDefault="008D7BBC" w:rsidP="00EA2355">
      <w:pPr>
        <w:pStyle w:val="Akapitzlist"/>
        <w:numPr>
          <w:ilvl w:val="0"/>
          <w:numId w:val="77"/>
        </w:numPr>
        <w:spacing w:before="240" w:after="0" w:line="276" w:lineRule="auto"/>
        <w:ind w:left="357" w:hanging="357"/>
        <w:contextualSpacing w:val="0"/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</w:pPr>
      <w:r w:rsidRPr="007919CB"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  <w:t>Zalecenia ogólne</w:t>
      </w:r>
      <w:r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  <w:t xml:space="preserve">. </w:t>
      </w:r>
    </w:p>
    <w:p w14:paraId="7C89367A" w14:textId="5E7D1D65" w:rsidR="008D7BBC" w:rsidRPr="007D405C" w:rsidRDefault="007D405C" w:rsidP="001779C0">
      <w:pPr>
        <w:pStyle w:val="Akapitzlist"/>
        <w:spacing w:after="0" w:line="276" w:lineRule="auto"/>
        <w:ind w:left="360" w:hanging="218"/>
        <w:rPr>
          <w:rStyle w:val="font-weight-bold"/>
          <w:rFonts w:ascii="Open Sans Light" w:hAnsi="Open Sans Light" w:cs="Open Sans Light"/>
          <w:bCs/>
          <w:sz w:val="24"/>
          <w:szCs w:val="24"/>
        </w:rPr>
      </w:pPr>
      <w:r w:rsidRPr="007D405C">
        <w:rPr>
          <w:rStyle w:val="font-weight-bold"/>
          <w:rFonts w:ascii="Open Sans Light" w:hAnsi="Open Sans Light" w:cs="Open Sans Light"/>
          <w:bCs/>
          <w:sz w:val="24"/>
          <w:szCs w:val="24"/>
        </w:rPr>
        <w:t xml:space="preserve">1) </w:t>
      </w:r>
      <w:r w:rsidR="008D7BBC" w:rsidRPr="007D405C">
        <w:rPr>
          <w:rStyle w:val="font-weight-bold"/>
          <w:rFonts w:ascii="Open Sans Light" w:hAnsi="Open Sans Light" w:cs="Open Sans Light"/>
          <w:bCs/>
          <w:sz w:val="24"/>
          <w:szCs w:val="24"/>
        </w:rPr>
        <w:t xml:space="preserve">Metoda analizy finansowej. </w:t>
      </w:r>
    </w:p>
    <w:p w14:paraId="36FBCF85" w14:textId="77777777" w:rsidR="008D7BBC" w:rsidRPr="007E1F1C" w:rsidRDefault="008D7BBC" w:rsidP="001779C0">
      <w:pPr>
        <w:spacing w:after="0" w:line="276" w:lineRule="auto"/>
        <w:ind w:left="426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Zgodnie z zapisami zawartymi w dokumencie „Wytyczne dotyczące zagadnień związanych z przygotowaniem projektów inwestycyjnych, w tym hybrydowych na lata 2021-2027” (dalej „Wytyczne”), Wnioskodawca powinien wybrać jedną z dwóch metod analizy finansowej (analiza standardowa lub złożona) i w modelu finansowym przedstawić odpowiednie wyliczenia, prezentujące (w dużym uproszczeniu) strumień przepływów pieniężnych dla:</w:t>
      </w:r>
    </w:p>
    <w:p w14:paraId="7554FC0D" w14:textId="77777777" w:rsidR="008D7BBC" w:rsidRPr="004A03D1" w:rsidRDefault="008D7BBC" w:rsidP="001779C0">
      <w:pPr>
        <w:pStyle w:val="Akapitzlist"/>
        <w:numPr>
          <w:ilvl w:val="0"/>
          <w:numId w:val="76"/>
        </w:numPr>
        <w:spacing w:after="0" w:line="276" w:lineRule="auto"/>
        <w:ind w:left="426" w:firstLine="0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4A03D1">
        <w:rPr>
          <w:rStyle w:val="font-weight-bold"/>
          <w:rFonts w:ascii="Open Sans Light" w:hAnsi="Open Sans Light" w:cs="Open Sans Light"/>
          <w:sz w:val="24"/>
          <w:szCs w:val="24"/>
        </w:rPr>
        <w:t>Wnioskodawcy bez Projektu (tzw. Wariant W-0),</w:t>
      </w:r>
    </w:p>
    <w:p w14:paraId="58567DA6" w14:textId="77777777" w:rsidR="008D7BBC" w:rsidRPr="004A03D1" w:rsidRDefault="008D7BBC" w:rsidP="001779C0">
      <w:pPr>
        <w:pStyle w:val="Akapitzlist"/>
        <w:numPr>
          <w:ilvl w:val="0"/>
          <w:numId w:val="76"/>
        </w:numPr>
        <w:spacing w:after="0" w:line="276" w:lineRule="auto"/>
        <w:ind w:left="426" w:firstLine="0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4A03D1">
        <w:rPr>
          <w:rStyle w:val="font-weight-bold"/>
          <w:rFonts w:ascii="Open Sans Light" w:hAnsi="Open Sans Light" w:cs="Open Sans Light"/>
          <w:sz w:val="24"/>
          <w:szCs w:val="24"/>
        </w:rPr>
        <w:t xml:space="preserve">Wnioskodawcy z Projektem (tzw. Wariant W-1), </w:t>
      </w:r>
    </w:p>
    <w:p w14:paraId="091F3E1F" w14:textId="77777777" w:rsidR="008D7BBC" w:rsidRPr="004A03D1" w:rsidRDefault="008D7BBC" w:rsidP="001779C0">
      <w:pPr>
        <w:pStyle w:val="Akapitzlist"/>
        <w:numPr>
          <w:ilvl w:val="0"/>
          <w:numId w:val="76"/>
        </w:numPr>
        <w:spacing w:after="0" w:line="276" w:lineRule="auto"/>
        <w:ind w:left="426" w:firstLine="0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4A03D1">
        <w:rPr>
          <w:rStyle w:val="font-weight-bold"/>
          <w:rFonts w:ascii="Open Sans Light" w:hAnsi="Open Sans Light" w:cs="Open Sans Light"/>
          <w:sz w:val="24"/>
          <w:szCs w:val="24"/>
        </w:rPr>
        <w:t xml:space="preserve">Projektu. </w:t>
      </w:r>
    </w:p>
    <w:p w14:paraId="0E9EE58F" w14:textId="77777777" w:rsidR="008D7BBC" w:rsidRPr="007E1F1C" w:rsidRDefault="008D7BBC" w:rsidP="001779C0">
      <w:pPr>
        <w:spacing w:after="0" w:line="276" w:lineRule="auto"/>
        <w:ind w:left="426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Bez względu na wybór metody analiz finansowych, w modelu finansowym powinny zostać przedstawione wyniki finansowe Wnioskodawcy za okres 3 lat wstecz oraz na okres prognoz finansowych (okres odniesienia). </w:t>
      </w:r>
    </w:p>
    <w:p w14:paraId="2E0D9C52" w14:textId="77777777" w:rsidR="008D7BBC" w:rsidRPr="007E1F1C" w:rsidRDefault="008D7BBC" w:rsidP="00EA2355">
      <w:pPr>
        <w:spacing w:before="240" w:after="0" w:line="276" w:lineRule="auto"/>
        <w:ind w:left="425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przypadku, gdy Wnioskodawcą jest JST, wyniki i prognozy finansowe mogą zostać zaprezentowana w układzie rachunkowym (rachunek zysków i strat i bilans) lub w układzie budżetowym (dochody/wydatki, przychody/rozchody, wynik budżetu), z zastrzeżeniem, że w układzie rachunkowym konieczne jest sporządzenie dodatkowo rachunku przepływów pieniężnych, który jest rachunkiem wynikowym w stosunku do rachunku zysków i strat oraz bilansu. </w:t>
      </w:r>
    </w:p>
    <w:p w14:paraId="44F2CC14" w14:textId="77777777" w:rsidR="008D7BBC" w:rsidRPr="007E1F1C" w:rsidRDefault="008D7BBC" w:rsidP="00EA2355">
      <w:pPr>
        <w:spacing w:before="240" w:after="240" w:line="276" w:lineRule="auto"/>
        <w:ind w:left="425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przypadku projektów realizowanych w ramach: Działanie FENX.01.05. Ochrona przyrody i rozwój zielonej infrastruktury, Typ projektu: </w:t>
      </w:r>
      <w:r w:rsidRPr="007919CB">
        <w:rPr>
          <w:rStyle w:val="font-weight-bold"/>
          <w:rFonts w:ascii="Open Sans Light" w:hAnsi="Open Sans Light" w:cs="Open Sans Light"/>
          <w:sz w:val="24"/>
          <w:szCs w:val="24"/>
        </w:rPr>
        <w:t xml:space="preserve">Usuwanie </w:t>
      </w:r>
      <w:r w:rsidRPr="007919CB">
        <w:rPr>
          <w:rStyle w:val="font-weight-bold"/>
          <w:rFonts w:ascii="Open Sans Light" w:hAnsi="Open Sans Light" w:cs="Open Sans Light"/>
          <w:sz w:val="24"/>
          <w:szCs w:val="24"/>
        </w:rPr>
        <w:lastRenderedPageBreak/>
        <w:t>niewłaściwie składowanych lub magazynowanych odpadów oraz wywołanego przez nie zagrożenia dla ludzi lub środowiska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, rekomendowane jest stosowanie metody standardowej i prezentacja struktura przychodowo-kosztowej i kapitałowo-majątkowej w formie rachunku zysków i strat oraz bilansu, zgodnie z zasadami Ustawy o rachunkowości.</w:t>
      </w:r>
    </w:p>
    <w:p w14:paraId="318BFA93" w14:textId="77777777" w:rsidR="008D7BBC" w:rsidRDefault="008D7BBC" w:rsidP="001779C0">
      <w:pPr>
        <w:spacing w:after="0" w:line="276" w:lineRule="auto"/>
        <w:ind w:left="426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Wobec powyższego, oczekuje się, że poprawnie sporządzona analiza finansowa, w Wariancie W-1, będzie prezentować wyniki finansowe Wnioskodawcy (układ rachunkowy lub budżetowy) z uwzględnieniem wnioskowanego Projektu.</w:t>
      </w:r>
    </w:p>
    <w:p w14:paraId="68E62017" w14:textId="374AF91C" w:rsidR="008D7BBC" w:rsidRPr="007D405C" w:rsidRDefault="007D405C" w:rsidP="00EA2355">
      <w:pPr>
        <w:pStyle w:val="Akapitzlist"/>
        <w:spacing w:before="240" w:after="0" w:line="276" w:lineRule="auto"/>
        <w:ind w:left="357" w:hanging="215"/>
        <w:contextualSpacing w:val="0"/>
        <w:rPr>
          <w:rStyle w:val="font-weight-bold"/>
          <w:rFonts w:ascii="Open Sans Light" w:hAnsi="Open Sans Light" w:cs="Open Sans Light"/>
          <w:bCs/>
          <w:sz w:val="24"/>
          <w:szCs w:val="24"/>
        </w:rPr>
      </w:pPr>
      <w:r w:rsidRPr="007D405C">
        <w:rPr>
          <w:rStyle w:val="font-weight-bold"/>
          <w:rFonts w:ascii="Open Sans Light" w:hAnsi="Open Sans Light" w:cs="Open Sans Light"/>
          <w:bCs/>
          <w:sz w:val="24"/>
          <w:szCs w:val="24"/>
        </w:rPr>
        <w:t xml:space="preserve">2) </w:t>
      </w:r>
      <w:r w:rsidR="008D7BBC" w:rsidRPr="007D405C">
        <w:rPr>
          <w:rStyle w:val="font-weight-bold"/>
          <w:rFonts w:ascii="Open Sans Light" w:hAnsi="Open Sans Light" w:cs="Open Sans Light"/>
          <w:bCs/>
          <w:sz w:val="24"/>
          <w:szCs w:val="24"/>
        </w:rPr>
        <w:t>Model finansowy.</w:t>
      </w:r>
    </w:p>
    <w:p w14:paraId="5F69FBEE" w14:textId="77777777" w:rsidR="008D7BBC" w:rsidRDefault="008D7BBC" w:rsidP="001779C0">
      <w:pPr>
        <w:spacing w:after="0" w:line="276" w:lineRule="auto"/>
        <w:ind w:left="426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Model finansowy powinien zostać sporządzana w formie aktywnego arkusz</w:t>
      </w:r>
      <w:r>
        <w:rPr>
          <w:rStyle w:val="font-weight-bold"/>
          <w:rFonts w:ascii="Open Sans Light" w:hAnsi="Open Sans Light" w:cs="Open Sans Light"/>
          <w:sz w:val="24"/>
          <w:szCs w:val="24"/>
        </w:rPr>
        <w:t>a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>
        <w:rPr>
          <w:rStyle w:val="font-weight-bold"/>
          <w:rFonts w:ascii="Open Sans Light" w:hAnsi="Open Sans Light" w:cs="Open Sans Light"/>
          <w:sz w:val="24"/>
          <w:szCs w:val="24"/>
        </w:rPr>
        <w:t xml:space="preserve">kalkulacyjnego 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(przykładowe formaty: xls, </w:t>
      </w:r>
      <w:proofErr w:type="spellStart"/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xlsx</w:t>
      </w:r>
      <w:proofErr w:type="spellEnd"/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, itp.), posiadając</w:t>
      </w:r>
      <w:r>
        <w:rPr>
          <w:rStyle w:val="font-weight-bold"/>
          <w:rFonts w:ascii="Open Sans Light" w:hAnsi="Open Sans Light" w:cs="Open Sans Light"/>
          <w:sz w:val="24"/>
          <w:szCs w:val="24"/>
        </w:rPr>
        <w:t>ego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 odrębnie ujęte założenia, obliczenia i wyniki.</w:t>
      </w:r>
    </w:p>
    <w:p w14:paraId="7FF2B0AD" w14:textId="77777777" w:rsidR="008D7BBC" w:rsidRDefault="008D7BBC" w:rsidP="001779C0">
      <w:pPr>
        <w:spacing w:after="0" w:line="276" w:lineRule="auto"/>
        <w:ind w:left="426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Poszczególne skoroszyty (zakładki) arkusza kalkulacyjnego powinny być powiązane ze sobą aktywnymi formułami, tak aby można było prześledzić poprawność przeprowadzonych obliczeń.</w:t>
      </w:r>
    </w:p>
    <w:p w14:paraId="1C70C72C" w14:textId="77777777" w:rsidR="008D7BBC" w:rsidRPr="007E1F1C" w:rsidRDefault="008D7BBC" w:rsidP="001779C0">
      <w:pPr>
        <w:spacing w:after="0" w:line="276" w:lineRule="auto"/>
        <w:ind w:left="426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Budowa i funkcjonalność modelu finansowego powinna zapewnić spójność i ciągłość prognoz finansowych. Arkusz kalkulacyjny nie powinien być chroniony i nie powinien posiadać ukrytych skoroszytów. </w:t>
      </w:r>
    </w:p>
    <w:p w14:paraId="2D95B33C" w14:textId="77777777" w:rsidR="008D7BBC" w:rsidRPr="007E1F1C" w:rsidRDefault="008D7BBC" w:rsidP="001779C0">
      <w:pPr>
        <w:spacing w:after="0" w:line="276" w:lineRule="auto"/>
        <w:ind w:left="426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Ważne jest, aby zachować ciągłość i spójność obliczeń pomiędzy osiągniętymi wynikami finansowymi a prognozowanymi wartościami. W przypadku znaczących zmian prognozowanych wartości poszczególnych pozycji rachunkowych należy przedstawić dodatkowy komentarz, potwierdzający zasadność i poprawność prognozowanych wartości. </w:t>
      </w:r>
    </w:p>
    <w:p w14:paraId="0A05A38A" w14:textId="24B84ECF" w:rsidR="008D7BBC" w:rsidRPr="007D405C" w:rsidRDefault="007D405C" w:rsidP="00EA2355">
      <w:pPr>
        <w:pStyle w:val="Akapitzlist"/>
        <w:spacing w:before="240" w:after="0" w:line="276" w:lineRule="auto"/>
        <w:ind w:left="357" w:hanging="357"/>
        <w:contextualSpacing w:val="0"/>
        <w:rPr>
          <w:rStyle w:val="font-weight-bold"/>
          <w:rFonts w:ascii="Open Sans Light" w:hAnsi="Open Sans Light" w:cs="Open Sans Light"/>
          <w:bCs/>
          <w:sz w:val="24"/>
          <w:szCs w:val="24"/>
        </w:rPr>
      </w:pPr>
      <w:r w:rsidRPr="007D405C">
        <w:rPr>
          <w:rStyle w:val="font-weight-bold"/>
          <w:rFonts w:ascii="Open Sans Light" w:hAnsi="Open Sans Light" w:cs="Open Sans Light"/>
          <w:bCs/>
          <w:sz w:val="24"/>
          <w:szCs w:val="24"/>
        </w:rPr>
        <w:t xml:space="preserve">3) </w:t>
      </w:r>
      <w:r>
        <w:rPr>
          <w:rStyle w:val="font-weight-bold"/>
          <w:rFonts w:ascii="Open Sans Light" w:hAnsi="Open Sans Light" w:cs="Open Sans Light"/>
          <w:bCs/>
          <w:sz w:val="24"/>
          <w:szCs w:val="24"/>
        </w:rPr>
        <w:t xml:space="preserve">  </w:t>
      </w:r>
      <w:r w:rsidR="008D7BBC" w:rsidRPr="007D405C">
        <w:rPr>
          <w:rStyle w:val="font-weight-bold"/>
          <w:rFonts w:ascii="Open Sans Light" w:hAnsi="Open Sans Light" w:cs="Open Sans Light"/>
          <w:bCs/>
          <w:sz w:val="24"/>
          <w:szCs w:val="24"/>
        </w:rPr>
        <w:t>Stosowanie dokumentów programowych dla Programu Fundusze Europejskie na Infrastrukturę, Klimat, Środowisko 2021-2027.</w:t>
      </w:r>
    </w:p>
    <w:p w14:paraId="5FB13799" w14:textId="155FA9C5" w:rsidR="008D7BBC" w:rsidRPr="007D405C" w:rsidRDefault="008D7BBC" w:rsidP="001779C0">
      <w:pPr>
        <w:pStyle w:val="Akapitzlist"/>
        <w:spacing w:after="0" w:line="276" w:lineRule="auto"/>
        <w:ind w:left="284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D405C">
        <w:rPr>
          <w:rStyle w:val="font-weight-bold"/>
          <w:rFonts w:ascii="Open Sans Light" w:hAnsi="Open Sans Light" w:cs="Open Sans Light"/>
          <w:sz w:val="24"/>
          <w:szCs w:val="24"/>
        </w:rPr>
        <w:t>W kwestiach nieuregulowanych w niniejszych założeniach do analiz finansowych należy odnieść się do uregulowań zawartych w dokumencie „Wytycznych dotyczących zagadnień związanych z przygotowaniem projektów inwestycyjnych, w tym hybrydowych na lata 2021-2027”.</w:t>
      </w:r>
    </w:p>
    <w:sectPr w:rsidR="008D7BBC" w:rsidRPr="007D405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C240C" w14:textId="77777777" w:rsidR="00502701" w:rsidRDefault="00502701" w:rsidP="00F17459">
      <w:pPr>
        <w:spacing w:after="0" w:line="240" w:lineRule="auto"/>
      </w:pPr>
      <w:r>
        <w:separator/>
      </w:r>
    </w:p>
  </w:endnote>
  <w:endnote w:type="continuationSeparator" w:id="0">
    <w:p w14:paraId="7FBA34AF" w14:textId="77777777" w:rsidR="00502701" w:rsidRDefault="00502701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6690969"/>
      <w:docPartObj>
        <w:docPartGallery w:val="Page Numbers (Bottom of Page)"/>
        <w:docPartUnique/>
      </w:docPartObj>
    </w:sdtPr>
    <w:sdtEndPr/>
    <w:sdtContent>
      <w:p w14:paraId="391FFA9D" w14:textId="7A2840C6" w:rsidR="00A62403" w:rsidRDefault="00A624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9C0">
          <w:rPr>
            <w:noProof/>
          </w:rPr>
          <w:t>1</w:t>
        </w:r>
        <w:r>
          <w:fldChar w:fldCharType="end"/>
        </w:r>
      </w:p>
    </w:sdtContent>
  </w:sdt>
  <w:p w14:paraId="067A18C9" w14:textId="77777777" w:rsidR="00A62403" w:rsidRDefault="00A624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AF5AA" w14:textId="77777777" w:rsidR="00502701" w:rsidRDefault="00502701" w:rsidP="00F17459">
      <w:pPr>
        <w:spacing w:after="0" w:line="240" w:lineRule="auto"/>
      </w:pPr>
      <w:r>
        <w:separator/>
      </w:r>
    </w:p>
  </w:footnote>
  <w:footnote w:type="continuationSeparator" w:id="0">
    <w:p w14:paraId="48A8060B" w14:textId="77777777" w:rsidR="00502701" w:rsidRDefault="00502701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81275"/>
    <w:multiLevelType w:val="hybridMultilevel"/>
    <w:tmpl w:val="7A24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605"/>
    <w:multiLevelType w:val="hybridMultilevel"/>
    <w:tmpl w:val="5EBEF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D79DF"/>
    <w:multiLevelType w:val="hybridMultilevel"/>
    <w:tmpl w:val="5F06E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870A9"/>
    <w:multiLevelType w:val="hybridMultilevel"/>
    <w:tmpl w:val="E94E16AE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55555"/>
    <w:multiLevelType w:val="hybridMultilevel"/>
    <w:tmpl w:val="0BCE2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87C3C"/>
    <w:multiLevelType w:val="hybridMultilevel"/>
    <w:tmpl w:val="A18C142C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BD40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161B32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63A55AC"/>
    <w:multiLevelType w:val="hybridMultilevel"/>
    <w:tmpl w:val="5AE8F68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414E43"/>
    <w:multiLevelType w:val="hybridMultilevel"/>
    <w:tmpl w:val="706A1A76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6D46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FB05CA2"/>
    <w:multiLevelType w:val="hybridMultilevel"/>
    <w:tmpl w:val="62DAA04A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FD7D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1279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CB26C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D81778"/>
    <w:multiLevelType w:val="hybridMultilevel"/>
    <w:tmpl w:val="FB6036E2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1B0F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157F85"/>
    <w:multiLevelType w:val="hybridMultilevel"/>
    <w:tmpl w:val="8FF65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4314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2135ECA"/>
    <w:multiLevelType w:val="hybridMultilevel"/>
    <w:tmpl w:val="AA40EDEC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29B5E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8D47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1419E1"/>
    <w:multiLevelType w:val="hybridMultilevel"/>
    <w:tmpl w:val="13EA71AA"/>
    <w:lvl w:ilvl="0" w:tplc="F190DD54">
      <w:start w:val="1"/>
      <w:numFmt w:val="decimal"/>
      <w:lvlText w:val="%1)"/>
      <w:lvlJc w:val="left"/>
      <w:pPr>
        <w:ind w:left="1020" w:hanging="360"/>
      </w:pPr>
    </w:lvl>
    <w:lvl w:ilvl="1" w:tplc="9508E6EA">
      <w:start w:val="1"/>
      <w:numFmt w:val="decimal"/>
      <w:lvlText w:val="%2)"/>
      <w:lvlJc w:val="left"/>
      <w:pPr>
        <w:ind w:left="1020" w:hanging="360"/>
      </w:pPr>
    </w:lvl>
    <w:lvl w:ilvl="2" w:tplc="495E2E2C">
      <w:start w:val="1"/>
      <w:numFmt w:val="decimal"/>
      <w:lvlText w:val="%3)"/>
      <w:lvlJc w:val="left"/>
      <w:pPr>
        <w:ind w:left="1020" w:hanging="360"/>
      </w:pPr>
    </w:lvl>
    <w:lvl w:ilvl="3" w:tplc="9FCAB1A8">
      <w:start w:val="1"/>
      <w:numFmt w:val="decimal"/>
      <w:lvlText w:val="%4)"/>
      <w:lvlJc w:val="left"/>
      <w:pPr>
        <w:ind w:left="1020" w:hanging="360"/>
      </w:pPr>
    </w:lvl>
    <w:lvl w:ilvl="4" w:tplc="EB0274C4">
      <w:start w:val="1"/>
      <w:numFmt w:val="decimal"/>
      <w:lvlText w:val="%5)"/>
      <w:lvlJc w:val="left"/>
      <w:pPr>
        <w:ind w:left="1020" w:hanging="360"/>
      </w:pPr>
    </w:lvl>
    <w:lvl w:ilvl="5" w:tplc="0C4ABA5A">
      <w:start w:val="1"/>
      <w:numFmt w:val="decimal"/>
      <w:lvlText w:val="%6)"/>
      <w:lvlJc w:val="left"/>
      <w:pPr>
        <w:ind w:left="1020" w:hanging="360"/>
      </w:pPr>
    </w:lvl>
    <w:lvl w:ilvl="6" w:tplc="A0D8F05E">
      <w:start w:val="1"/>
      <w:numFmt w:val="decimal"/>
      <w:lvlText w:val="%7)"/>
      <w:lvlJc w:val="left"/>
      <w:pPr>
        <w:ind w:left="1020" w:hanging="360"/>
      </w:pPr>
    </w:lvl>
    <w:lvl w:ilvl="7" w:tplc="0978A056">
      <w:start w:val="1"/>
      <w:numFmt w:val="decimal"/>
      <w:lvlText w:val="%8)"/>
      <w:lvlJc w:val="left"/>
      <w:pPr>
        <w:ind w:left="1020" w:hanging="360"/>
      </w:pPr>
    </w:lvl>
    <w:lvl w:ilvl="8" w:tplc="B2F01662">
      <w:start w:val="1"/>
      <w:numFmt w:val="decimal"/>
      <w:lvlText w:val="%9)"/>
      <w:lvlJc w:val="left"/>
      <w:pPr>
        <w:ind w:left="1020" w:hanging="360"/>
      </w:pPr>
    </w:lvl>
  </w:abstractNum>
  <w:abstractNum w:abstractNumId="51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145F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5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6A0107"/>
    <w:multiLevelType w:val="hybridMultilevel"/>
    <w:tmpl w:val="0C348D82"/>
    <w:lvl w:ilvl="0" w:tplc="60421C84">
      <w:start w:val="1"/>
      <w:numFmt w:val="decimal"/>
      <w:lvlText w:val="%1)"/>
      <w:lvlJc w:val="left"/>
      <w:pPr>
        <w:ind w:left="1020" w:hanging="360"/>
      </w:pPr>
    </w:lvl>
    <w:lvl w:ilvl="1" w:tplc="7C44E21E">
      <w:start w:val="1"/>
      <w:numFmt w:val="decimal"/>
      <w:lvlText w:val="%2)"/>
      <w:lvlJc w:val="left"/>
      <w:pPr>
        <w:ind w:left="1020" w:hanging="360"/>
      </w:pPr>
    </w:lvl>
    <w:lvl w:ilvl="2" w:tplc="3F029E5A">
      <w:start w:val="1"/>
      <w:numFmt w:val="decimal"/>
      <w:lvlText w:val="%3)"/>
      <w:lvlJc w:val="left"/>
      <w:pPr>
        <w:ind w:left="1020" w:hanging="360"/>
      </w:pPr>
    </w:lvl>
    <w:lvl w:ilvl="3" w:tplc="8B9E987C">
      <w:start w:val="1"/>
      <w:numFmt w:val="decimal"/>
      <w:lvlText w:val="%4)"/>
      <w:lvlJc w:val="left"/>
      <w:pPr>
        <w:ind w:left="1020" w:hanging="360"/>
      </w:pPr>
    </w:lvl>
    <w:lvl w:ilvl="4" w:tplc="686EB048">
      <w:start w:val="1"/>
      <w:numFmt w:val="decimal"/>
      <w:lvlText w:val="%5)"/>
      <w:lvlJc w:val="left"/>
      <w:pPr>
        <w:ind w:left="1020" w:hanging="360"/>
      </w:pPr>
    </w:lvl>
    <w:lvl w:ilvl="5" w:tplc="4D74D320">
      <w:start w:val="1"/>
      <w:numFmt w:val="decimal"/>
      <w:lvlText w:val="%6)"/>
      <w:lvlJc w:val="left"/>
      <w:pPr>
        <w:ind w:left="1020" w:hanging="360"/>
      </w:pPr>
    </w:lvl>
    <w:lvl w:ilvl="6" w:tplc="FDB00F80">
      <w:start w:val="1"/>
      <w:numFmt w:val="decimal"/>
      <w:lvlText w:val="%7)"/>
      <w:lvlJc w:val="left"/>
      <w:pPr>
        <w:ind w:left="1020" w:hanging="360"/>
      </w:pPr>
    </w:lvl>
    <w:lvl w:ilvl="7" w:tplc="EDC64698">
      <w:start w:val="1"/>
      <w:numFmt w:val="decimal"/>
      <w:lvlText w:val="%8)"/>
      <w:lvlJc w:val="left"/>
      <w:pPr>
        <w:ind w:left="1020" w:hanging="360"/>
      </w:pPr>
    </w:lvl>
    <w:lvl w:ilvl="8" w:tplc="81700EB2">
      <w:start w:val="1"/>
      <w:numFmt w:val="decimal"/>
      <w:lvlText w:val="%9)"/>
      <w:lvlJc w:val="left"/>
      <w:pPr>
        <w:ind w:left="1020" w:hanging="360"/>
      </w:pPr>
    </w:lvl>
  </w:abstractNum>
  <w:abstractNum w:abstractNumId="58" w15:restartNumberingAfterBreak="0">
    <w:nsid w:val="628B46D4"/>
    <w:multiLevelType w:val="hybridMultilevel"/>
    <w:tmpl w:val="E29ACC9C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AC16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4375CD6"/>
    <w:multiLevelType w:val="hybridMultilevel"/>
    <w:tmpl w:val="8744BB0A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68E55981"/>
    <w:multiLevelType w:val="hybridMultilevel"/>
    <w:tmpl w:val="DA023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B443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B9C0D98"/>
    <w:multiLevelType w:val="hybridMultilevel"/>
    <w:tmpl w:val="5EE6F5A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241881"/>
    <w:multiLevelType w:val="hybridMultilevel"/>
    <w:tmpl w:val="62BE837C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6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525C6F"/>
    <w:multiLevelType w:val="hybridMultilevel"/>
    <w:tmpl w:val="B6C06EC8"/>
    <w:lvl w:ilvl="0" w:tplc="6E926F82">
      <w:start w:val="1"/>
      <w:numFmt w:val="decimal"/>
      <w:lvlText w:val="%1)"/>
      <w:lvlJc w:val="left"/>
      <w:pPr>
        <w:ind w:left="1020" w:hanging="360"/>
      </w:pPr>
    </w:lvl>
    <w:lvl w:ilvl="1" w:tplc="4CEC4A84">
      <w:start w:val="1"/>
      <w:numFmt w:val="decimal"/>
      <w:lvlText w:val="%2)"/>
      <w:lvlJc w:val="left"/>
      <w:pPr>
        <w:ind w:left="1020" w:hanging="360"/>
      </w:pPr>
    </w:lvl>
    <w:lvl w:ilvl="2" w:tplc="0B563DF2">
      <w:start w:val="1"/>
      <w:numFmt w:val="decimal"/>
      <w:lvlText w:val="%3)"/>
      <w:lvlJc w:val="left"/>
      <w:pPr>
        <w:ind w:left="1020" w:hanging="360"/>
      </w:pPr>
    </w:lvl>
    <w:lvl w:ilvl="3" w:tplc="EFF2C34A">
      <w:start w:val="1"/>
      <w:numFmt w:val="decimal"/>
      <w:lvlText w:val="%4)"/>
      <w:lvlJc w:val="left"/>
      <w:pPr>
        <w:ind w:left="1020" w:hanging="360"/>
      </w:pPr>
    </w:lvl>
    <w:lvl w:ilvl="4" w:tplc="768E84F2">
      <w:start w:val="1"/>
      <w:numFmt w:val="decimal"/>
      <w:lvlText w:val="%5)"/>
      <w:lvlJc w:val="left"/>
      <w:pPr>
        <w:ind w:left="1020" w:hanging="360"/>
      </w:pPr>
    </w:lvl>
    <w:lvl w:ilvl="5" w:tplc="C57C98AA">
      <w:start w:val="1"/>
      <w:numFmt w:val="decimal"/>
      <w:lvlText w:val="%6)"/>
      <w:lvlJc w:val="left"/>
      <w:pPr>
        <w:ind w:left="1020" w:hanging="360"/>
      </w:pPr>
    </w:lvl>
    <w:lvl w:ilvl="6" w:tplc="485C619E">
      <w:start w:val="1"/>
      <w:numFmt w:val="decimal"/>
      <w:lvlText w:val="%7)"/>
      <w:lvlJc w:val="left"/>
      <w:pPr>
        <w:ind w:left="1020" w:hanging="360"/>
      </w:pPr>
    </w:lvl>
    <w:lvl w:ilvl="7" w:tplc="5EC66E80">
      <w:start w:val="1"/>
      <w:numFmt w:val="decimal"/>
      <w:lvlText w:val="%8)"/>
      <w:lvlJc w:val="left"/>
      <w:pPr>
        <w:ind w:left="1020" w:hanging="360"/>
      </w:pPr>
    </w:lvl>
    <w:lvl w:ilvl="8" w:tplc="B2C0E714">
      <w:start w:val="1"/>
      <w:numFmt w:val="decimal"/>
      <w:lvlText w:val="%9)"/>
      <w:lvlJc w:val="left"/>
      <w:pPr>
        <w:ind w:left="1020" w:hanging="360"/>
      </w:pPr>
    </w:lvl>
  </w:abstractNum>
  <w:abstractNum w:abstractNumId="69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65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ABD02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036453">
    <w:abstractNumId w:val="34"/>
  </w:num>
  <w:num w:numId="2" w16cid:durableId="1543903021">
    <w:abstractNumId w:val="42"/>
  </w:num>
  <w:num w:numId="3" w16cid:durableId="1065375822">
    <w:abstractNumId w:val="26"/>
  </w:num>
  <w:num w:numId="4" w16cid:durableId="1259871815">
    <w:abstractNumId w:val="36"/>
  </w:num>
  <w:num w:numId="5" w16cid:durableId="1812018980">
    <w:abstractNumId w:val="24"/>
  </w:num>
  <w:num w:numId="6" w16cid:durableId="2001032913">
    <w:abstractNumId w:val="31"/>
  </w:num>
  <w:num w:numId="7" w16cid:durableId="1922830640">
    <w:abstractNumId w:val="73"/>
  </w:num>
  <w:num w:numId="8" w16cid:durableId="296646593">
    <w:abstractNumId w:val="41"/>
  </w:num>
  <w:num w:numId="9" w16cid:durableId="1767653957">
    <w:abstractNumId w:val="76"/>
  </w:num>
  <w:num w:numId="10" w16cid:durableId="818813869">
    <w:abstractNumId w:val="11"/>
  </w:num>
  <w:num w:numId="11" w16cid:durableId="104934579">
    <w:abstractNumId w:val="18"/>
  </w:num>
  <w:num w:numId="12" w16cid:durableId="1015765814">
    <w:abstractNumId w:val="74"/>
  </w:num>
  <w:num w:numId="13" w16cid:durableId="2128231779">
    <w:abstractNumId w:val="55"/>
  </w:num>
  <w:num w:numId="14" w16cid:durableId="890073649">
    <w:abstractNumId w:val="28"/>
  </w:num>
  <w:num w:numId="15" w16cid:durableId="630137874">
    <w:abstractNumId w:val="66"/>
  </w:num>
  <w:num w:numId="16" w16cid:durableId="145708285">
    <w:abstractNumId w:val="13"/>
  </w:num>
  <w:num w:numId="17" w16cid:durableId="580329651">
    <w:abstractNumId w:val="52"/>
  </w:num>
  <w:num w:numId="18" w16cid:durableId="340358543">
    <w:abstractNumId w:val="6"/>
  </w:num>
  <w:num w:numId="19" w16cid:durableId="1605918583">
    <w:abstractNumId w:val="70"/>
  </w:num>
  <w:num w:numId="20" w16cid:durableId="494999050">
    <w:abstractNumId w:val="4"/>
  </w:num>
  <w:num w:numId="21" w16cid:durableId="924344050">
    <w:abstractNumId w:val="47"/>
  </w:num>
  <w:num w:numId="22" w16cid:durableId="1481381650">
    <w:abstractNumId w:val="23"/>
  </w:num>
  <w:num w:numId="23" w16cid:durableId="82606688">
    <w:abstractNumId w:val="75"/>
  </w:num>
  <w:num w:numId="24" w16cid:durableId="610934404">
    <w:abstractNumId w:val="37"/>
  </w:num>
  <w:num w:numId="25" w16cid:durableId="1093629643">
    <w:abstractNumId w:val="51"/>
  </w:num>
  <w:num w:numId="26" w16cid:durableId="1549875526">
    <w:abstractNumId w:val="38"/>
  </w:num>
  <w:num w:numId="27" w16cid:durableId="908610865">
    <w:abstractNumId w:val="5"/>
  </w:num>
  <w:num w:numId="28" w16cid:durableId="709187763">
    <w:abstractNumId w:val="17"/>
  </w:num>
  <w:num w:numId="29" w16cid:durableId="1586693428">
    <w:abstractNumId w:val="54"/>
  </w:num>
  <w:num w:numId="30" w16cid:durableId="486089919">
    <w:abstractNumId w:val="35"/>
  </w:num>
  <w:num w:numId="31" w16cid:durableId="1902397355">
    <w:abstractNumId w:val="56"/>
  </w:num>
  <w:num w:numId="32" w16cid:durableId="32273258">
    <w:abstractNumId w:val="43"/>
  </w:num>
  <w:num w:numId="33" w16cid:durableId="1306623526">
    <w:abstractNumId w:val="27"/>
  </w:num>
  <w:num w:numId="34" w16cid:durableId="1824665194">
    <w:abstractNumId w:val="0"/>
  </w:num>
  <w:num w:numId="35" w16cid:durableId="66388951">
    <w:abstractNumId w:val="19"/>
  </w:num>
  <w:num w:numId="36" w16cid:durableId="1844126932">
    <w:abstractNumId w:val="3"/>
  </w:num>
  <w:num w:numId="37" w16cid:durableId="2070691607">
    <w:abstractNumId w:val="40"/>
  </w:num>
  <w:num w:numId="38" w16cid:durableId="1235701565">
    <w:abstractNumId w:val="49"/>
  </w:num>
  <w:num w:numId="39" w16cid:durableId="976229689">
    <w:abstractNumId w:val="67"/>
  </w:num>
  <w:num w:numId="40" w16cid:durableId="1886482096">
    <w:abstractNumId w:val="65"/>
  </w:num>
  <w:num w:numId="41" w16cid:durableId="708798201">
    <w:abstractNumId w:val="14"/>
  </w:num>
  <w:num w:numId="42" w16cid:durableId="1596985166">
    <w:abstractNumId w:val="69"/>
  </w:num>
  <w:num w:numId="43" w16cid:durableId="80295333">
    <w:abstractNumId w:val="25"/>
  </w:num>
  <w:num w:numId="44" w16cid:durableId="1091270944">
    <w:abstractNumId w:val="2"/>
  </w:num>
  <w:num w:numId="45" w16cid:durableId="824513019">
    <w:abstractNumId w:val="29"/>
  </w:num>
  <w:num w:numId="46" w16cid:durableId="1043093386">
    <w:abstractNumId w:val="62"/>
  </w:num>
  <w:num w:numId="47" w16cid:durableId="1893997223">
    <w:abstractNumId w:val="12"/>
  </w:num>
  <w:num w:numId="48" w16cid:durableId="1009793234">
    <w:abstractNumId w:val="30"/>
  </w:num>
  <w:num w:numId="49" w16cid:durableId="170949827">
    <w:abstractNumId w:val="21"/>
  </w:num>
  <w:num w:numId="50" w16cid:durableId="1017997660">
    <w:abstractNumId w:val="72"/>
  </w:num>
  <w:num w:numId="51" w16cid:durableId="2146466639">
    <w:abstractNumId w:val="59"/>
  </w:num>
  <w:num w:numId="52" w16cid:durableId="1483889450">
    <w:abstractNumId w:val="48"/>
  </w:num>
  <w:num w:numId="53" w16cid:durableId="1309897340">
    <w:abstractNumId w:val="15"/>
  </w:num>
  <w:num w:numId="54" w16cid:durableId="204489421">
    <w:abstractNumId w:val="33"/>
  </w:num>
  <w:num w:numId="55" w16cid:durableId="431360058">
    <w:abstractNumId w:val="71"/>
  </w:num>
  <w:num w:numId="56" w16cid:durableId="68506537">
    <w:abstractNumId w:val="46"/>
  </w:num>
  <w:num w:numId="57" w16cid:durableId="247812895">
    <w:abstractNumId w:val="53"/>
  </w:num>
  <w:num w:numId="58" w16cid:durableId="1801338310">
    <w:abstractNumId w:val="44"/>
  </w:num>
  <w:num w:numId="59" w16cid:durableId="609514635">
    <w:abstractNumId w:val="7"/>
  </w:num>
  <w:num w:numId="60" w16cid:durableId="1781795230">
    <w:abstractNumId w:val="8"/>
  </w:num>
  <w:num w:numId="61" w16cid:durableId="1126704967">
    <w:abstractNumId w:val="32"/>
  </w:num>
  <w:num w:numId="62" w16cid:durableId="307979921">
    <w:abstractNumId w:val="20"/>
  </w:num>
  <w:num w:numId="63" w16cid:durableId="1181090210">
    <w:abstractNumId w:val="9"/>
  </w:num>
  <w:num w:numId="64" w16cid:durableId="1488134714">
    <w:abstractNumId w:val="61"/>
  </w:num>
  <w:num w:numId="65" w16cid:durableId="1035622029">
    <w:abstractNumId w:val="45"/>
  </w:num>
  <w:num w:numId="66" w16cid:durableId="1110591029">
    <w:abstractNumId w:val="60"/>
  </w:num>
  <w:num w:numId="67" w16cid:durableId="1257789093">
    <w:abstractNumId w:val="1"/>
  </w:num>
  <w:num w:numId="68" w16cid:durableId="1795371866">
    <w:abstractNumId w:val="68"/>
  </w:num>
  <w:num w:numId="69" w16cid:durableId="843932647">
    <w:abstractNumId w:val="50"/>
  </w:num>
  <w:num w:numId="70" w16cid:durableId="1039432595">
    <w:abstractNumId w:val="57"/>
  </w:num>
  <w:num w:numId="71" w16cid:durableId="838808173">
    <w:abstractNumId w:val="58"/>
  </w:num>
  <w:num w:numId="72" w16cid:durableId="2085033435">
    <w:abstractNumId w:val="64"/>
  </w:num>
  <w:num w:numId="73" w16cid:durableId="953295513">
    <w:abstractNumId w:val="22"/>
  </w:num>
  <w:num w:numId="74" w16cid:durableId="1629235183">
    <w:abstractNumId w:val="63"/>
  </w:num>
  <w:num w:numId="75" w16cid:durableId="1673991185">
    <w:abstractNumId w:val="16"/>
  </w:num>
  <w:num w:numId="76" w16cid:durableId="1673028944">
    <w:abstractNumId w:val="10"/>
  </w:num>
  <w:num w:numId="77" w16cid:durableId="1358970653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0037"/>
    <w:rsid w:val="00016242"/>
    <w:rsid w:val="000200EE"/>
    <w:rsid w:val="000278D8"/>
    <w:rsid w:val="00027D9B"/>
    <w:rsid w:val="000327C9"/>
    <w:rsid w:val="00033CD7"/>
    <w:rsid w:val="00037B76"/>
    <w:rsid w:val="000448AF"/>
    <w:rsid w:val="00051C99"/>
    <w:rsid w:val="0005256A"/>
    <w:rsid w:val="000821BC"/>
    <w:rsid w:val="000839FF"/>
    <w:rsid w:val="00083AEF"/>
    <w:rsid w:val="000932EA"/>
    <w:rsid w:val="00094932"/>
    <w:rsid w:val="0009662E"/>
    <w:rsid w:val="000A1864"/>
    <w:rsid w:val="000A2065"/>
    <w:rsid w:val="000B3FDF"/>
    <w:rsid w:val="000D0B4F"/>
    <w:rsid w:val="000F33EF"/>
    <w:rsid w:val="000F5C0E"/>
    <w:rsid w:val="000F7EC3"/>
    <w:rsid w:val="001021FF"/>
    <w:rsid w:val="0010398F"/>
    <w:rsid w:val="0010766B"/>
    <w:rsid w:val="00110FE4"/>
    <w:rsid w:val="00140CFA"/>
    <w:rsid w:val="00173E19"/>
    <w:rsid w:val="001779C0"/>
    <w:rsid w:val="00183A7B"/>
    <w:rsid w:val="00183B69"/>
    <w:rsid w:val="001935C4"/>
    <w:rsid w:val="00196BC7"/>
    <w:rsid w:val="001B6C66"/>
    <w:rsid w:val="001D74F3"/>
    <w:rsid w:val="001D7874"/>
    <w:rsid w:val="001E12A1"/>
    <w:rsid w:val="001E487C"/>
    <w:rsid w:val="001E79C8"/>
    <w:rsid w:val="001F4BAF"/>
    <w:rsid w:val="001F4C21"/>
    <w:rsid w:val="001F7F52"/>
    <w:rsid w:val="00201477"/>
    <w:rsid w:val="002021CD"/>
    <w:rsid w:val="0020269A"/>
    <w:rsid w:val="002062C8"/>
    <w:rsid w:val="00217970"/>
    <w:rsid w:val="00221569"/>
    <w:rsid w:val="0022206C"/>
    <w:rsid w:val="0022548C"/>
    <w:rsid w:val="002254A8"/>
    <w:rsid w:val="0023048D"/>
    <w:rsid w:val="00235C2A"/>
    <w:rsid w:val="002440A0"/>
    <w:rsid w:val="00255AE2"/>
    <w:rsid w:val="002673A6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E0923"/>
    <w:rsid w:val="002E453D"/>
    <w:rsid w:val="002F5209"/>
    <w:rsid w:val="0030766F"/>
    <w:rsid w:val="00322460"/>
    <w:rsid w:val="00327C1F"/>
    <w:rsid w:val="0035339B"/>
    <w:rsid w:val="003554F5"/>
    <w:rsid w:val="003570B6"/>
    <w:rsid w:val="00357143"/>
    <w:rsid w:val="0036166A"/>
    <w:rsid w:val="003660B0"/>
    <w:rsid w:val="0036663D"/>
    <w:rsid w:val="00367E2A"/>
    <w:rsid w:val="003911AE"/>
    <w:rsid w:val="00391EB7"/>
    <w:rsid w:val="003920A7"/>
    <w:rsid w:val="00394E1F"/>
    <w:rsid w:val="003A3FFD"/>
    <w:rsid w:val="003B10F2"/>
    <w:rsid w:val="003B7AD6"/>
    <w:rsid w:val="003C3723"/>
    <w:rsid w:val="003D4C06"/>
    <w:rsid w:val="003D4D63"/>
    <w:rsid w:val="003D500C"/>
    <w:rsid w:val="003F03A3"/>
    <w:rsid w:val="003F07D5"/>
    <w:rsid w:val="00430392"/>
    <w:rsid w:val="00431305"/>
    <w:rsid w:val="00437AF6"/>
    <w:rsid w:val="00452E17"/>
    <w:rsid w:val="004532B1"/>
    <w:rsid w:val="004559A3"/>
    <w:rsid w:val="004561DF"/>
    <w:rsid w:val="00461C7D"/>
    <w:rsid w:val="00465CEA"/>
    <w:rsid w:val="00467B31"/>
    <w:rsid w:val="0047429E"/>
    <w:rsid w:val="0048288D"/>
    <w:rsid w:val="004977CD"/>
    <w:rsid w:val="004A0868"/>
    <w:rsid w:val="004A0BC0"/>
    <w:rsid w:val="004A0F16"/>
    <w:rsid w:val="004A2C35"/>
    <w:rsid w:val="004B2EB8"/>
    <w:rsid w:val="004D1BF6"/>
    <w:rsid w:val="004D7AB1"/>
    <w:rsid w:val="004E703C"/>
    <w:rsid w:val="004F0E3F"/>
    <w:rsid w:val="00502701"/>
    <w:rsid w:val="00513593"/>
    <w:rsid w:val="00516ED5"/>
    <w:rsid w:val="005231BD"/>
    <w:rsid w:val="0052395B"/>
    <w:rsid w:val="005302AE"/>
    <w:rsid w:val="0053391A"/>
    <w:rsid w:val="00533E9A"/>
    <w:rsid w:val="005347A9"/>
    <w:rsid w:val="0053715A"/>
    <w:rsid w:val="00546341"/>
    <w:rsid w:val="00551FDD"/>
    <w:rsid w:val="0055425A"/>
    <w:rsid w:val="00565A5F"/>
    <w:rsid w:val="00577696"/>
    <w:rsid w:val="0058673E"/>
    <w:rsid w:val="00586813"/>
    <w:rsid w:val="005954D7"/>
    <w:rsid w:val="005A46D2"/>
    <w:rsid w:val="005A67A4"/>
    <w:rsid w:val="005C0B35"/>
    <w:rsid w:val="005E536F"/>
    <w:rsid w:val="005E61B1"/>
    <w:rsid w:val="005E7410"/>
    <w:rsid w:val="005F6B45"/>
    <w:rsid w:val="00623C04"/>
    <w:rsid w:val="0063621E"/>
    <w:rsid w:val="00661D46"/>
    <w:rsid w:val="00676D33"/>
    <w:rsid w:val="006918FB"/>
    <w:rsid w:val="006A1888"/>
    <w:rsid w:val="006C43AB"/>
    <w:rsid w:val="006C6EF7"/>
    <w:rsid w:val="006D315B"/>
    <w:rsid w:val="006D4544"/>
    <w:rsid w:val="006D6808"/>
    <w:rsid w:val="006E08F8"/>
    <w:rsid w:val="006F6E4B"/>
    <w:rsid w:val="00744DB3"/>
    <w:rsid w:val="00756C62"/>
    <w:rsid w:val="00756EB3"/>
    <w:rsid w:val="00762CEB"/>
    <w:rsid w:val="00762E7E"/>
    <w:rsid w:val="00764726"/>
    <w:rsid w:val="007649B1"/>
    <w:rsid w:val="00770C90"/>
    <w:rsid w:val="00783B0B"/>
    <w:rsid w:val="007862C6"/>
    <w:rsid w:val="00796B8A"/>
    <w:rsid w:val="00797EC4"/>
    <w:rsid w:val="007A0820"/>
    <w:rsid w:val="007A4D50"/>
    <w:rsid w:val="007B1448"/>
    <w:rsid w:val="007C20D7"/>
    <w:rsid w:val="007C3B3C"/>
    <w:rsid w:val="007C5039"/>
    <w:rsid w:val="007D0EF5"/>
    <w:rsid w:val="007D2632"/>
    <w:rsid w:val="007D405C"/>
    <w:rsid w:val="007E1F1C"/>
    <w:rsid w:val="007F1C36"/>
    <w:rsid w:val="008021B6"/>
    <w:rsid w:val="00816938"/>
    <w:rsid w:val="00827945"/>
    <w:rsid w:val="0083249D"/>
    <w:rsid w:val="0085004A"/>
    <w:rsid w:val="00860B92"/>
    <w:rsid w:val="008664C9"/>
    <w:rsid w:val="008748CB"/>
    <w:rsid w:val="00883D7F"/>
    <w:rsid w:val="008B4593"/>
    <w:rsid w:val="008B6501"/>
    <w:rsid w:val="008C06A8"/>
    <w:rsid w:val="008D4F99"/>
    <w:rsid w:val="008D7BBC"/>
    <w:rsid w:val="008E0B90"/>
    <w:rsid w:val="008F036C"/>
    <w:rsid w:val="008F0FA9"/>
    <w:rsid w:val="008F4F66"/>
    <w:rsid w:val="008F7874"/>
    <w:rsid w:val="00902307"/>
    <w:rsid w:val="00906DCC"/>
    <w:rsid w:val="00907932"/>
    <w:rsid w:val="00907F35"/>
    <w:rsid w:val="00933AA9"/>
    <w:rsid w:val="00934785"/>
    <w:rsid w:val="009354D9"/>
    <w:rsid w:val="009359D1"/>
    <w:rsid w:val="00970632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9F6BB8"/>
    <w:rsid w:val="00A009DE"/>
    <w:rsid w:val="00A03393"/>
    <w:rsid w:val="00A061AB"/>
    <w:rsid w:val="00A06325"/>
    <w:rsid w:val="00A214A9"/>
    <w:rsid w:val="00A229F1"/>
    <w:rsid w:val="00A31A0E"/>
    <w:rsid w:val="00A33395"/>
    <w:rsid w:val="00A41E27"/>
    <w:rsid w:val="00A427FD"/>
    <w:rsid w:val="00A4318A"/>
    <w:rsid w:val="00A45D4A"/>
    <w:rsid w:val="00A51ADE"/>
    <w:rsid w:val="00A62403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973B7"/>
    <w:rsid w:val="00AA14D8"/>
    <w:rsid w:val="00AA191B"/>
    <w:rsid w:val="00AA3E6F"/>
    <w:rsid w:val="00AB5E44"/>
    <w:rsid w:val="00AD650D"/>
    <w:rsid w:val="00AE07E3"/>
    <w:rsid w:val="00AE09F9"/>
    <w:rsid w:val="00AE1AF1"/>
    <w:rsid w:val="00AE4233"/>
    <w:rsid w:val="00AE756D"/>
    <w:rsid w:val="00AF6091"/>
    <w:rsid w:val="00B0327A"/>
    <w:rsid w:val="00B15B66"/>
    <w:rsid w:val="00B1716A"/>
    <w:rsid w:val="00B20067"/>
    <w:rsid w:val="00B219AF"/>
    <w:rsid w:val="00B21FC6"/>
    <w:rsid w:val="00B30463"/>
    <w:rsid w:val="00B37BDB"/>
    <w:rsid w:val="00B41B1C"/>
    <w:rsid w:val="00B4579F"/>
    <w:rsid w:val="00B50E16"/>
    <w:rsid w:val="00B513A7"/>
    <w:rsid w:val="00B52514"/>
    <w:rsid w:val="00B60BD7"/>
    <w:rsid w:val="00B60D34"/>
    <w:rsid w:val="00B9754D"/>
    <w:rsid w:val="00BB6C72"/>
    <w:rsid w:val="00BB6FF0"/>
    <w:rsid w:val="00BB7FB5"/>
    <w:rsid w:val="00BD23E1"/>
    <w:rsid w:val="00BD4093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A1112"/>
    <w:rsid w:val="00CB4807"/>
    <w:rsid w:val="00CC577C"/>
    <w:rsid w:val="00CC7344"/>
    <w:rsid w:val="00CD2C13"/>
    <w:rsid w:val="00CD4028"/>
    <w:rsid w:val="00CF08C8"/>
    <w:rsid w:val="00CF08E1"/>
    <w:rsid w:val="00D21D3A"/>
    <w:rsid w:val="00D26F8F"/>
    <w:rsid w:val="00D32E98"/>
    <w:rsid w:val="00D348FB"/>
    <w:rsid w:val="00D56F4E"/>
    <w:rsid w:val="00D60023"/>
    <w:rsid w:val="00D63689"/>
    <w:rsid w:val="00D641DC"/>
    <w:rsid w:val="00D735F8"/>
    <w:rsid w:val="00D76255"/>
    <w:rsid w:val="00D800FE"/>
    <w:rsid w:val="00D8592C"/>
    <w:rsid w:val="00DA0D37"/>
    <w:rsid w:val="00DB2820"/>
    <w:rsid w:val="00DC3FD9"/>
    <w:rsid w:val="00DC4BDF"/>
    <w:rsid w:val="00DC545D"/>
    <w:rsid w:val="00DD09B8"/>
    <w:rsid w:val="00DD34E4"/>
    <w:rsid w:val="00DD628D"/>
    <w:rsid w:val="00DD697A"/>
    <w:rsid w:val="00DD6AB1"/>
    <w:rsid w:val="00DE2DD6"/>
    <w:rsid w:val="00DF359B"/>
    <w:rsid w:val="00E01835"/>
    <w:rsid w:val="00E12060"/>
    <w:rsid w:val="00E2417C"/>
    <w:rsid w:val="00E24F7A"/>
    <w:rsid w:val="00E3676A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2355"/>
    <w:rsid w:val="00EA524E"/>
    <w:rsid w:val="00EA6EF9"/>
    <w:rsid w:val="00EA71EE"/>
    <w:rsid w:val="00EB1729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47ADD"/>
    <w:rsid w:val="00F607ED"/>
    <w:rsid w:val="00F621A5"/>
    <w:rsid w:val="00F62213"/>
    <w:rsid w:val="00F70078"/>
    <w:rsid w:val="00F8413D"/>
    <w:rsid w:val="00F9078E"/>
    <w:rsid w:val="00F90899"/>
    <w:rsid w:val="00F90DE5"/>
    <w:rsid w:val="00FB6ECC"/>
    <w:rsid w:val="00FB7009"/>
    <w:rsid w:val="00FC056A"/>
    <w:rsid w:val="00FD214A"/>
    <w:rsid w:val="00FD6187"/>
    <w:rsid w:val="00FD7064"/>
    <w:rsid w:val="00FF24D9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40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D40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3A3F3-392E-4A1E-8027-2EE273B1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11</Pages>
  <Words>2509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17530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34</cp:revision>
  <dcterms:created xsi:type="dcterms:W3CDTF">2024-08-20T12:00:00Z</dcterms:created>
  <dcterms:modified xsi:type="dcterms:W3CDTF">2025-03-03T07:36:00Z</dcterms:modified>
</cp:coreProperties>
</file>